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96605">
      <w:pPr>
        <w:spacing w:line="576" w:lineRule="exact"/>
        <w:jc w:val="center"/>
        <w:rPr>
          <w:rFonts w:ascii="宋体" w:hAnsi="宋体" w:eastAsia="宋体"/>
          <w:sz w:val="44"/>
          <w:szCs w:val="44"/>
        </w:rPr>
      </w:pPr>
    </w:p>
    <w:p w14:paraId="5B9838B0">
      <w:pPr>
        <w:spacing w:line="576" w:lineRule="exact"/>
        <w:jc w:val="center"/>
        <w:rPr>
          <w:rFonts w:ascii="宋体" w:hAnsi="宋体" w:eastAsia="宋体"/>
          <w:sz w:val="44"/>
          <w:szCs w:val="44"/>
        </w:rPr>
      </w:pPr>
    </w:p>
    <w:p w14:paraId="55BC53C1">
      <w:pPr>
        <w:spacing w:line="576" w:lineRule="exact"/>
        <w:jc w:val="center"/>
        <w:rPr>
          <w:rFonts w:ascii="宋体" w:hAnsi="宋体" w:eastAsia="宋体"/>
          <w:sz w:val="44"/>
          <w:szCs w:val="44"/>
        </w:rPr>
      </w:pPr>
    </w:p>
    <w:p w14:paraId="7242B236">
      <w:pPr>
        <w:spacing w:line="576" w:lineRule="exact"/>
        <w:jc w:val="center"/>
        <w:rPr>
          <w:rFonts w:ascii="宋体" w:hAnsi="宋体" w:eastAsia="宋体"/>
          <w:sz w:val="44"/>
          <w:szCs w:val="44"/>
        </w:rPr>
      </w:pPr>
    </w:p>
    <w:p w14:paraId="11D3A8AC">
      <w:pPr>
        <w:spacing w:line="576" w:lineRule="exact"/>
        <w:jc w:val="center"/>
        <w:rPr>
          <w:rFonts w:ascii="宋体" w:hAnsi="宋体" w:eastAsia="宋体"/>
          <w:sz w:val="44"/>
          <w:szCs w:val="44"/>
        </w:rPr>
      </w:pPr>
    </w:p>
    <w:p w14:paraId="3E8C75E1">
      <w:pPr>
        <w:spacing w:line="576" w:lineRule="exact"/>
        <w:jc w:val="center"/>
        <w:rPr>
          <w:rFonts w:ascii="宋体" w:hAnsi="宋体" w:eastAsia="宋体"/>
          <w:sz w:val="44"/>
          <w:szCs w:val="44"/>
        </w:rPr>
      </w:pPr>
    </w:p>
    <w:p w14:paraId="570C1390">
      <w:pPr>
        <w:spacing w:line="576" w:lineRule="exact"/>
        <w:jc w:val="center"/>
        <w:rPr>
          <w:rFonts w:ascii="宋体" w:hAnsi="宋体" w:eastAsia="宋体"/>
          <w:sz w:val="44"/>
          <w:szCs w:val="44"/>
        </w:rPr>
      </w:pPr>
      <w:r>
        <w:rPr>
          <w:rFonts w:hint="eastAsia" w:ascii="宋体" w:hAnsi="宋体" w:eastAsia="宋体"/>
          <w:sz w:val="44"/>
          <w:szCs w:val="44"/>
        </w:rPr>
        <w:t>阜新市综合防灾减灾规划</w:t>
      </w:r>
    </w:p>
    <w:p w14:paraId="3654245E">
      <w:pPr>
        <w:spacing w:line="576" w:lineRule="exact"/>
        <w:jc w:val="center"/>
        <w:rPr>
          <w:rFonts w:ascii="宋体" w:hAnsi="宋体" w:eastAsia="宋体"/>
          <w:sz w:val="44"/>
          <w:szCs w:val="44"/>
        </w:rPr>
      </w:pPr>
      <w:r>
        <w:rPr>
          <w:rFonts w:hint="eastAsia" w:ascii="宋体" w:hAnsi="宋体" w:eastAsia="宋体"/>
          <w:sz w:val="44"/>
          <w:szCs w:val="44"/>
        </w:rPr>
        <w:t>（</w:t>
      </w:r>
      <w:r>
        <w:rPr>
          <w:rFonts w:ascii="宋体" w:hAnsi="宋体" w:eastAsia="宋体"/>
          <w:sz w:val="44"/>
          <w:szCs w:val="44"/>
        </w:rPr>
        <w:t>2021-2025</w:t>
      </w:r>
      <w:r>
        <w:rPr>
          <w:rFonts w:hint="eastAsia" w:ascii="宋体" w:hAnsi="宋体" w:eastAsia="宋体"/>
          <w:sz w:val="44"/>
          <w:szCs w:val="44"/>
        </w:rPr>
        <w:t>年）</w:t>
      </w:r>
    </w:p>
    <w:p w14:paraId="0AF2291E">
      <w:pPr>
        <w:spacing w:line="576" w:lineRule="exact"/>
        <w:rPr>
          <w:sz w:val="44"/>
          <w:szCs w:val="44"/>
        </w:rPr>
      </w:pPr>
    </w:p>
    <w:p w14:paraId="3763C3A4">
      <w:pPr>
        <w:spacing w:line="576" w:lineRule="exact"/>
        <w:jc w:val="center"/>
        <w:rPr>
          <w:rFonts w:ascii="楷体_GB2312" w:eastAsia="楷体_GB2312"/>
          <w:sz w:val="32"/>
          <w:szCs w:val="32"/>
        </w:rPr>
      </w:pPr>
      <w:r>
        <w:rPr>
          <w:rFonts w:hint="eastAsia" w:ascii="楷体_GB2312" w:eastAsia="楷体_GB2312"/>
          <w:sz w:val="32"/>
          <w:szCs w:val="32"/>
        </w:rPr>
        <w:t>（征求意见稿）</w:t>
      </w:r>
    </w:p>
    <w:p w14:paraId="47070F1B">
      <w:pPr>
        <w:spacing w:line="576" w:lineRule="exact"/>
      </w:pPr>
    </w:p>
    <w:p w14:paraId="5D58E153">
      <w:pPr>
        <w:spacing w:line="576" w:lineRule="exact"/>
      </w:pPr>
    </w:p>
    <w:p w14:paraId="7D7008F3">
      <w:pPr>
        <w:spacing w:line="576" w:lineRule="exact"/>
      </w:pPr>
    </w:p>
    <w:p w14:paraId="4B903B42">
      <w:pPr>
        <w:spacing w:line="576" w:lineRule="exact"/>
      </w:pPr>
    </w:p>
    <w:p w14:paraId="640E6C29">
      <w:pPr>
        <w:spacing w:line="576" w:lineRule="exact"/>
      </w:pPr>
    </w:p>
    <w:p w14:paraId="00EF2E76">
      <w:pPr>
        <w:spacing w:line="576" w:lineRule="exact"/>
      </w:pPr>
    </w:p>
    <w:p w14:paraId="1868BE27">
      <w:pPr>
        <w:spacing w:line="576" w:lineRule="exact"/>
        <w:ind w:firstLine="3680" w:firstLineChars="1150"/>
        <w:rPr>
          <w:rFonts w:ascii="宋体" w:hAnsi="宋体" w:eastAsia="宋体"/>
          <w:sz w:val="32"/>
          <w:szCs w:val="32"/>
        </w:rPr>
      </w:pPr>
    </w:p>
    <w:p w14:paraId="1ED7F7C8">
      <w:pPr>
        <w:spacing w:line="576" w:lineRule="exact"/>
        <w:ind w:firstLine="3680" w:firstLineChars="1150"/>
        <w:rPr>
          <w:rFonts w:ascii="宋体" w:hAnsi="宋体" w:eastAsia="宋体"/>
          <w:sz w:val="32"/>
          <w:szCs w:val="32"/>
        </w:rPr>
      </w:pPr>
    </w:p>
    <w:p w14:paraId="2136FCCE">
      <w:pPr>
        <w:spacing w:line="576" w:lineRule="exact"/>
        <w:ind w:firstLine="3680" w:firstLineChars="1150"/>
        <w:rPr>
          <w:rFonts w:ascii="宋体" w:hAnsi="宋体" w:eastAsia="宋体"/>
          <w:sz w:val="32"/>
          <w:szCs w:val="32"/>
        </w:rPr>
      </w:pPr>
    </w:p>
    <w:p w14:paraId="214C8EB5">
      <w:pPr>
        <w:spacing w:line="576" w:lineRule="exact"/>
        <w:ind w:firstLine="3680" w:firstLineChars="1150"/>
        <w:rPr>
          <w:rFonts w:ascii="宋体" w:hAnsi="宋体" w:eastAsia="宋体"/>
          <w:sz w:val="32"/>
          <w:szCs w:val="32"/>
        </w:rPr>
      </w:pPr>
    </w:p>
    <w:p w14:paraId="25C3E481">
      <w:pPr>
        <w:spacing w:line="576" w:lineRule="exact"/>
        <w:ind w:firstLine="3680" w:firstLineChars="1150"/>
        <w:rPr>
          <w:rFonts w:ascii="宋体" w:hAnsi="宋体" w:eastAsia="宋体"/>
          <w:sz w:val="32"/>
          <w:szCs w:val="32"/>
        </w:rPr>
      </w:pPr>
    </w:p>
    <w:p w14:paraId="777307A0">
      <w:pPr>
        <w:spacing w:line="576" w:lineRule="exact"/>
        <w:ind w:firstLine="3680" w:firstLineChars="1150"/>
        <w:rPr>
          <w:rFonts w:ascii="宋体" w:hAnsi="宋体" w:eastAsia="宋体"/>
          <w:sz w:val="32"/>
          <w:szCs w:val="32"/>
        </w:rPr>
      </w:pPr>
    </w:p>
    <w:p w14:paraId="5527CC50">
      <w:pPr>
        <w:spacing w:line="576" w:lineRule="exact"/>
        <w:ind w:firstLine="3680" w:firstLineChars="1150"/>
        <w:rPr>
          <w:rFonts w:ascii="宋体" w:hAnsi="宋体" w:eastAsia="宋体"/>
          <w:sz w:val="32"/>
          <w:szCs w:val="32"/>
        </w:rPr>
      </w:pPr>
    </w:p>
    <w:p w14:paraId="68F0DC72">
      <w:pPr>
        <w:spacing w:line="576" w:lineRule="exact"/>
        <w:ind w:firstLine="3680" w:firstLineChars="1150"/>
        <w:rPr>
          <w:rFonts w:ascii="宋体" w:hAnsi="宋体" w:eastAsia="宋体"/>
          <w:sz w:val="32"/>
          <w:szCs w:val="32"/>
        </w:rPr>
      </w:pPr>
      <w:r>
        <w:rPr>
          <w:rFonts w:hint="eastAsia" w:ascii="宋体" w:hAnsi="宋体" w:eastAsia="宋体"/>
          <w:sz w:val="32"/>
          <w:szCs w:val="32"/>
        </w:rPr>
        <w:t>目</w:t>
      </w:r>
      <w:r>
        <w:rPr>
          <w:rFonts w:ascii="宋体" w:hAnsi="宋体" w:eastAsia="宋体"/>
          <w:sz w:val="32"/>
          <w:szCs w:val="32"/>
        </w:rPr>
        <w:t xml:space="preserve">   </w:t>
      </w:r>
      <w:r>
        <w:rPr>
          <w:rFonts w:hint="eastAsia" w:ascii="宋体" w:hAnsi="宋体" w:eastAsia="宋体"/>
          <w:sz w:val="32"/>
          <w:szCs w:val="32"/>
        </w:rPr>
        <w:t>录</w:t>
      </w:r>
    </w:p>
    <w:p w14:paraId="0A82324D">
      <w:pPr>
        <w:spacing w:line="576" w:lineRule="exact"/>
        <w:rPr>
          <w:rFonts w:ascii="黑体" w:hAnsi="黑体" w:eastAsia="黑体"/>
          <w:sz w:val="28"/>
          <w:szCs w:val="28"/>
        </w:rPr>
      </w:pPr>
    </w:p>
    <w:p w14:paraId="369E84E6">
      <w:pPr>
        <w:overflowPunct w:val="0"/>
        <w:spacing w:line="576" w:lineRule="exact"/>
        <w:ind w:firstLine="560" w:firstLineChars="200"/>
        <w:rPr>
          <w:rFonts w:ascii="仿宋_GB2312" w:eastAsia="仿宋_GB2312"/>
          <w:szCs w:val="21"/>
        </w:rPr>
      </w:pPr>
      <w:r>
        <w:rPr>
          <w:rFonts w:hint="eastAsia" w:ascii="黑体" w:hAnsi="黑体" w:eastAsia="黑体"/>
          <w:sz w:val="28"/>
          <w:szCs w:val="28"/>
        </w:rPr>
        <w:t>一、“十三五”时期全市防灾减灾工作成效</w:t>
      </w:r>
      <w:r>
        <w:rPr>
          <w:rFonts w:ascii="黑体" w:hAnsi="黑体" w:eastAsia="黑体"/>
          <w:sz w:val="28"/>
          <w:szCs w:val="28"/>
        </w:rPr>
        <w:t xml:space="preserve">               </w:t>
      </w:r>
      <w:r>
        <w:rPr>
          <w:rFonts w:ascii="宋体" w:hAnsi="宋体" w:eastAsia="宋体"/>
          <w:szCs w:val="21"/>
        </w:rPr>
        <w:t>-2-</w:t>
      </w:r>
    </w:p>
    <w:p w14:paraId="24AFC25C">
      <w:pPr>
        <w:spacing w:line="576" w:lineRule="exact"/>
        <w:ind w:firstLine="420" w:firstLineChars="200"/>
        <w:rPr>
          <w:rFonts w:ascii="宋体" w:hAnsi="宋体" w:eastAsia="宋体"/>
          <w:szCs w:val="21"/>
        </w:rPr>
      </w:pPr>
      <w:r>
        <w:rPr>
          <w:rFonts w:hint="eastAsia" w:ascii="宋体" w:hAnsi="宋体" w:eastAsia="宋体"/>
          <w:szCs w:val="21"/>
        </w:rPr>
        <w:t>（一）体制机制更加健全，工作合力进一步加强</w:t>
      </w:r>
      <w:r>
        <w:rPr>
          <w:rFonts w:ascii="宋体" w:hAnsi="宋体" w:eastAsia="宋体"/>
          <w:szCs w:val="21"/>
        </w:rPr>
        <w:t xml:space="preserve">                              -2-  </w:t>
      </w:r>
    </w:p>
    <w:p w14:paraId="4686D1B7">
      <w:pPr>
        <w:spacing w:line="576" w:lineRule="exact"/>
        <w:ind w:firstLine="420" w:firstLineChars="200"/>
        <w:rPr>
          <w:rFonts w:ascii="宋体" w:hAnsi="宋体" w:eastAsia="宋体"/>
          <w:b/>
          <w:szCs w:val="21"/>
        </w:rPr>
      </w:pPr>
      <w:r>
        <w:rPr>
          <w:rFonts w:hint="eastAsia" w:ascii="宋体" w:hAnsi="宋体" w:eastAsia="宋体"/>
          <w:szCs w:val="21"/>
        </w:rPr>
        <w:t>（二）防灾减灾救灾基础更加巩固，综合防范能力进一步提升</w:t>
      </w:r>
      <w:r>
        <w:rPr>
          <w:rFonts w:ascii="宋体" w:hAnsi="宋体" w:eastAsia="宋体"/>
          <w:szCs w:val="21"/>
        </w:rPr>
        <w:t xml:space="preserve">                  -3-</w:t>
      </w:r>
    </w:p>
    <w:p w14:paraId="3C20DB2C">
      <w:pPr>
        <w:spacing w:line="576" w:lineRule="exact"/>
        <w:ind w:firstLine="420" w:firstLineChars="200"/>
        <w:rPr>
          <w:rFonts w:ascii="宋体" w:hAnsi="宋体" w:eastAsia="宋体"/>
          <w:szCs w:val="21"/>
        </w:rPr>
      </w:pPr>
      <w:r>
        <w:rPr>
          <w:rFonts w:hint="eastAsia" w:ascii="宋体" w:hAnsi="宋体" w:eastAsia="宋体"/>
          <w:szCs w:val="21"/>
        </w:rPr>
        <w:t>（三）应急救援体系更加完善，自然灾害应急处置能力进一步提高</w:t>
      </w:r>
      <w:r>
        <w:rPr>
          <w:rFonts w:ascii="宋体" w:hAnsi="宋体" w:eastAsia="宋体"/>
          <w:szCs w:val="21"/>
        </w:rPr>
        <w:t xml:space="preserve">              -8-</w:t>
      </w:r>
    </w:p>
    <w:p w14:paraId="0A149860">
      <w:pPr>
        <w:spacing w:line="576" w:lineRule="exact"/>
        <w:ind w:firstLine="420" w:firstLineChars="200"/>
        <w:rPr>
          <w:rFonts w:ascii="宋体" w:hAnsi="宋体" w:eastAsia="宋体"/>
          <w:b/>
          <w:szCs w:val="21"/>
        </w:rPr>
      </w:pPr>
      <w:r>
        <w:rPr>
          <w:rFonts w:hint="eastAsia" w:ascii="宋体" w:hAnsi="宋体" w:eastAsia="宋体"/>
          <w:szCs w:val="21"/>
        </w:rPr>
        <w:t>（四）宣传教育更加常态化，全民防灾减灾意识进一步增强</w:t>
      </w:r>
      <w:r>
        <w:rPr>
          <w:rFonts w:ascii="宋体" w:hAnsi="宋体" w:eastAsia="宋体"/>
          <w:szCs w:val="21"/>
        </w:rPr>
        <w:t xml:space="preserve">                    -8-</w:t>
      </w:r>
    </w:p>
    <w:p w14:paraId="48AD8573">
      <w:pPr>
        <w:overflowPunct w:val="0"/>
        <w:spacing w:line="576" w:lineRule="exact"/>
        <w:ind w:firstLine="560" w:firstLineChars="200"/>
        <w:rPr>
          <w:rFonts w:ascii="宋体" w:hAnsi="宋体" w:eastAsia="宋体"/>
          <w:szCs w:val="21"/>
        </w:rPr>
      </w:pPr>
      <w:r>
        <w:rPr>
          <w:rFonts w:hint="eastAsia" w:ascii="黑体" w:hAnsi="宋体" w:eastAsia="黑体"/>
          <w:sz w:val="28"/>
          <w:szCs w:val="28"/>
        </w:rPr>
        <w:t>二、“十四五”时期防灾减灾</w:t>
      </w:r>
      <w:r>
        <w:rPr>
          <w:rFonts w:hint="eastAsia" w:ascii="黑体" w:hAnsi="宋体" w:eastAsia="黑体" w:cs="黑体"/>
          <w:sz w:val="28"/>
          <w:szCs w:val="28"/>
        </w:rPr>
        <w:t>面临的形势与挑战</w:t>
      </w:r>
      <w:r>
        <w:rPr>
          <w:rFonts w:ascii="黑体" w:hAnsi="宋体" w:eastAsia="黑体" w:cs="黑体"/>
          <w:sz w:val="28"/>
          <w:szCs w:val="28"/>
        </w:rPr>
        <w:t xml:space="preserve">           </w:t>
      </w:r>
      <w:r>
        <w:rPr>
          <w:rFonts w:ascii="宋体" w:hAnsi="宋体" w:eastAsia="宋体"/>
          <w:szCs w:val="21"/>
        </w:rPr>
        <w:t>-9-</w:t>
      </w:r>
    </w:p>
    <w:p w14:paraId="13D128E9">
      <w:pPr>
        <w:overflowPunct w:val="0"/>
        <w:spacing w:line="576" w:lineRule="exact"/>
        <w:ind w:firstLine="560" w:firstLineChars="200"/>
        <w:rPr>
          <w:rFonts w:ascii="宋体" w:hAnsi="宋体" w:eastAsia="宋体"/>
          <w:szCs w:val="21"/>
        </w:rPr>
      </w:pPr>
      <w:r>
        <w:rPr>
          <w:rFonts w:hint="eastAsia" w:ascii="黑体" w:hAnsi="宋体" w:eastAsia="黑体"/>
          <w:sz w:val="28"/>
          <w:szCs w:val="28"/>
        </w:rPr>
        <w:t>三、总体要求</w:t>
      </w:r>
      <w:r>
        <w:rPr>
          <w:rFonts w:ascii="黑体" w:hAnsi="宋体" w:eastAsia="黑体"/>
          <w:sz w:val="28"/>
          <w:szCs w:val="28"/>
        </w:rPr>
        <w:t xml:space="preserve">                                         </w:t>
      </w:r>
      <w:r>
        <w:rPr>
          <w:rFonts w:ascii="宋体" w:hAnsi="宋体" w:eastAsia="宋体"/>
          <w:szCs w:val="21"/>
        </w:rPr>
        <w:t>-10-</w:t>
      </w:r>
    </w:p>
    <w:p w14:paraId="3AB11551">
      <w:pPr>
        <w:spacing w:line="576" w:lineRule="exact"/>
        <w:ind w:firstLine="420" w:firstLineChars="200"/>
        <w:rPr>
          <w:rFonts w:ascii="黑体" w:hAnsi="宋体" w:eastAsia="黑体"/>
          <w:szCs w:val="21"/>
        </w:rPr>
      </w:pPr>
      <w:r>
        <w:rPr>
          <w:rFonts w:hint="eastAsia" w:ascii="宋体" w:hAnsi="宋体" w:eastAsia="宋体"/>
          <w:kern w:val="10"/>
          <w:szCs w:val="21"/>
        </w:rPr>
        <w:t>（一）指导思想</w:t>
      </w:r>
      <w:r>
        <w:rPr>
          <w:rFonts w:ascii="宋体" w:hAnsi="宋体" w:eastAsia="宋体"/>
          <w:kern w:val="10"/>
          <w:szCs w:val="21"/>
        </w:rPr>
        <w:t xml:space="preserve">                                                          -10-</w:t>
      </w:r>
    </w:p>
    <w:p w14:paraId="0328D495">
      <w:pPr>
        <w:spacing w:line="576" w:lineRule="exact"/>
        <w:ind w:firstLine="420" w:firstLineChars="200"/>
        <w:contextualSpacing/>
        <w:rPr>
          <w:rFonts w:ascii="宋体" w:hAnsi="宋体" w:eastAsia="宋体"/>
          <w:szCs w:val="21"/>
        </w:rPr>
      </w:pPr>
      <w:r>
        <w:rPr>
          <w:rFonts w:hint="eastAsia" w:ascii="宋体" w:hAnsi="宋体" w:eastAsia="宋体"/>
          <w:szCs w:val="21"/>
        </w:rPr>
        <w:t>（二）基本原则</w:t>
      </w:r>
      <w:r>
        <w:rPr>
          <w:rFonts w:ascii="宋体" w:hAnsi="宋体" w:eastAsia="宋体"/>
          <w:szCs w:val="21"/>
        </w:rPr>
        <w:t xml:space="preserve">                                                          -10-</w:t>
      </w:r>
    </w:p>
    <w:p w14:paraId="0C7E1183">
      <w:pPr>
        <w:spacing w:line="576" w:lineRule="exact"/>
        <w:ind w:firstLine="420" w:firstLineChars="200"/>
        <w:contextualSpacing/>
        <w:rPr>
          <w:rFonts w:ascii="宋体" w:hAnsi="宋体" w:eastAsia="宋体"/>
          <w:szCs w:val="21"/>
        </w:rPr>
      </w:pPr>
      <w:r>
        <w:rPr>
          <w:rFonts w:hint="eastAsia" w:ascii="宋体" w:hAnsi="宋体" w:eastAsia="宋体"/>
          <w:szCs w:val="21"/>
        </w:rPr>
        <w:t>（三）规划目标</w:t>
      </w:r>
      <w:r>
        <w:rPr>
          <w:rFonts w:ascii="宋体" w:hAnsi="宋体" w:eastAsia="宋体"/>
          <w:szCs w:val="21"/>
        </w:rPr>
        <w:t xml:space="preserve">                                                          -11-</w:t>
      </w:r>
    </w:p>
    <w:p w14:paraId="55DEEBAE">
      <w:pPr>
        <w:spacing w:line="576" w:lineRule="exact"/>
        <w:ind w:firstLine="560" w:firstLineChars="200"/>
        <w:contextualSpacing/>
        <w:rPr>
          <w:rFonts w:ascii="宋体" w:hAnsi="宋体" w:eastAsia="宋体"/>
          <w:szCs w:val="21"/>
        </w:rPr>
      </w:pPr>
      <w:r>
        <w:rPr>
          <w:rFonts w:hint="eastAsia" w:ascii="黑体" w:hAnsi="宋体" w:eastAsia="黑体"/>
          <w:sz w:val="28"/>
          <w:szCs w:val="28"/>
        </w:rPr>
        <w:t>四、主要任务</w:t>
      </w:r>
      <w:r>
        <w:rPr>
          <w:rFonts w:ascii="黑体" w:hAnsi="宋体" w:eastAsia="黑体"/>
          <w:sz w:val="28"/>
          <w:szCs w:val="28"/>
        </w:rPr>
        <w:t xml:space="preserve">                                         </w:t>
      </w:r>
      <w:r>
        <w:rPr>
          <w:rFonts w:ascii="宋体" w:hAnsi="宋体" w:eastAsia="宋体"/>
          <w:szCs w:val="21"/>
        </w:rPr>
        <w:t>-12-</w:t>
      </w:r>
    </w:p>
    <w:p w14:paraId="407E6AD3">
      <w:pPr>
        <w:spacing w:line="576" w:lineRule="exact"/>
        <w:ind w:firstLine="420" w:firstLineChars="200"/>
        <w:contextualSpacing/>
        <w:rPr>
          <w:rFonts w:ascii="宋体" w:hAnsi="宋体" w:eastAsia="宋体"/>
          <w:szCs w:val="21"/>
        </w:rPr>
      </w:pPr>
      <w:r>
        <w:rPr>
          <w:rFonts w:hint="eastAsia" w:ascii="宋体" w:hAnsi="宋体" w:eastAsia="宋体"/>
          <w:szCs w:val="21"/>
        </w:rPr>
        <w:t>（一）推进自然灾害防治体系现代化</w:t>
      </w:r>
      <w:r>
        <w:rPr>
          <w:rFonts w:ascii="宋体" w:hAnsi="宋体" w:eastAsia="宋体"/>
          <w:szCs w:val="21"/>
        </w:rPr>
        <w:t xml:space="preserve">                                        -12-</w:t>
      </w:r>
    </w:p>
    <w:p w14:paraId="005CEC54">
      <w:pPr>
        <w:spacing w:line="576" w:lineRule="exact"/>
        <w:ind w:firstLine="420" w:firstLineChars="200"/>
        <w:contextualSpacing/>
        <w:rPr>
          <w:rFonts w:ascii="宋体" w:hAnsi="宋体" w:eastAsia="宋体"/>
          <w:szCs w:val="21"/>
        </w:rPr>
      </w:pPr>
      <w:r>
        <w:rPr>
          <w:rFonts w:hint="eastAsia" w:ascii="宋体" w:hAnsi="宋体" w:eastAsia="宋体"/>
          <w:szCs w:val="21"/>
        </w:rPr>
        <w:t>（二）推进自然灾害防治能力现代化</w:t>
      </w:r>
      <w:r>
        <w:rPr>
          <w:rFonts w:ascii="宋体" w:hAnsi="宋体" w:eastAsia="宋体"/>
          <w:szCs w:val="21"/>
        </w:rPr>
        <w:t xml:space="preserve">                                        -14-</w:t>
      </w:r>
    </w:p>
    <w:p w14:paraId="463D43E4">
      <w:pPr>
        <w:spacing w:line="576" w:lineRule="exact"/>
        <w:ind w:firstLine="560" w:firstLineChars="200"/>
        <w:contextualSpacing/>
        <w:rPr>
          <w:rFonts w:ascii="黑体" w:hAnsi="宋体" w:eastAsia="黑体"/>
          <w:sz w:val="28"/>
          <w:szCs w:val="28"/>
        </w:rPr>
      </w:pPr>
      <w:r>
        <w:rPr>
          <w:rFonts w:hint="eastAsia" w:ascii="黑体" w:hAnsi="宋体" w:eastAsia="黑体"/>
          <w:sz w:val="28"/>
          <w:szCs w:val="28"/>
        </w:rPr>
        <w:t>五、重点工程</w:t>
      </w:r>
      <w:r>
        <w:rPr>
          <w:rFonts w:ascii="黑体" w:hAnsi="宋体" w:eastAsia="黑体"/>
          <w:sz w:val="28"/>
          <w:szCs w:val="28"/>
        </w:rPr>
        <w:t xml:space="preserve">                                         </w:t>
      </w:r>
      <w:r>
        <w:rPr>
          <w:rFonts w:ascii="宋体" w:hAnsi="宋体" w:eastAsia="宋体"/>
          <w:szCs w:val="21"/>
        </w:rPr>
        <w:t>-17-</w:t>
      </w:r>
    </w:p>
    <w:p w14:paraId="0A89E5AE">
      <w:pPr>
        <w:spacing w:line="576" w:lineRule="exact"/>
        <w:ind w:firstLine="420" w:firstLineChars="200"/>
        <w:contextualSpacing/>
        <w:rPr>
          <w:rFonts w:ascii="宋体" w:hAnsi="宋体" w:eastAsia="宋体"/>
          <w:szCs w:val="21"/>
        </w:rPr>
      </w:pPr>
      <w:r>
        <w:rPr>
          <w:rFonts w:hint="eastAsia" w:ascii="宋体" w:hAnsi="宋体" w:eastAsia="宋体" w:cs="楷体"/>
          <w:bCs/>
          <w:szCs w:val="21"/>
        </w:rPr>
        <w:t>（一）实施灾害风险和重点隐患排查工程</w:t>
      </w:r>
      <w:r>
        <w:rPr>
          <w:rFonts w:ascii="宋体" w:hAnsi="宋体" w:eastAsia="宋体" w:cs="楷体"/>
          <w:bCs/>
          <w:szCs w:val="21"/>
        </w:rPr>
        <w:t xml:space="preserve">                                    -17-</w:t>
      </w:r>
    </w:p>
    <w:p w14:paraId="5F4541C5">
      <w:pPr>
        <w:spacing w:line="576" w:lineRule="exact"/>
        <w:ind w:firstLine="420" w:firstLineChars="200"/>
        <w:contextualSpacing/>
        <w:rPr>
          <w:rFonts w:ascii="宋体" w:hAnsi="宋体" w:eastAsia="宋体"/>
          <w:kern w:val="10"/>
          <w:szCs w:val="21"/>
        </w:rPr>
      </w:pPr>
      <w:r>
        <w:rPr>
          <w:rFonts w:hint="eastAsia" w:ascii="宋体" w:hAnsi="宋体" w:eastAsia="宋体" w:cs="楷体"/>
          <w:bCs/>
          <w:szCs w:val="21"/>
        </w:rPr>
        <w:t>（二）实施重点生态功能区生态修复工程</w:t>
      </w:r>
      <w:r>
        <w:rPr>
          <w:rFonts w:ascii="宋体" w:hAnsi="宋体" w:eastAsia="宋体" w:cs="楷体"/>
          <w:bCs/>
          <w:szCs w:val="21"/>
        </w:rPr>
        <w:t xml:space="preserve">                                    -17-</w:t>
      </w:r>
    </w:p>
    <w:p w14:paraId="3DA3B64B">
      <w:pPr>
        <w:pStyle w:val="6"/>
        <w:shd w:val="clear" w:color="auto" w:fill="FFFFFF"/>
        <w:spacing w:before="0" w:beforeAutospacing="0" w:after="0" w:afterAutospacing="0" w:line="576" w:lineRule="exact"/>
        <w:ind w:firstLine="420" w:firstLineChars="200"/>
        <w:jc w:val="both"/>
        <w:rPr>
          <w:rFonts w:cs="楷体"/>
          <w:bCs/>
          <w:sz w:val="21"/>
          <w:szCs w:val="21"/>
        </w:rPr>
      </w:pPr>
      <w:r>
        <w:rPr>
          <w:rFonts w:hint="eastAsia" w:cs="楷体"/>
          <w:bCs/>
          <w:sz w:val="21"/>
          <w:szCs w:val="21"/>
        </w:rPr>
        <w:t>（三）实施地震易发区房屋设施加固工程</w:t>
      </w:r>
      <w:r>
        <w:rPr>
          <w:rFonts w:cs="楷体"/>
          <w:bCs/>
          <w:sz w:val="21"/>
          <w:szCs w:val="21"/>
        </w:rPr>
        <w:t xml:space="preserve">                                    -17-</w:t>
      </w:r>
    </w:p>
    <w:p w14:paraId="04F17A1C">
      <w:pPr>
        <w:pStyle w:val="6"/>
        <w:shd w:val="clear" w:color="auto" w:fill="FFFFFF"/>
        <w:spacing w:before="0" w:beforeAutospacing="0" w:after="0" w:afterAutospacing="0" w:line="576" w:lineRule="exact"/>
        <w:ind w:firstLine="420" w:firstLineChars="200"/>
        <w:jc w:val="both"/>
        <w:rPr>
          <w:rFonts w:cs="楷体"/>
          <w:bCs/>
          <w:sz w:val="21"/>
          <w:szCs w:val="21"/>
        </w:rPr>
      </w:pPr>
      <w:r>
        <w:rPr>
          <w:rFonts w:hint="eastAsia" w:cs="楷体"/>
          <w:bCs/>
          <w:sz w:val="21"/>
          <w:szCs w:val="21"/>
        </w:rPr>
        <w:t>（四）实施防汛抗旱水利提升工程</w:t>
      </w:r>
      <w:r>
        <w:rPr>
          <w:rFonts w:cs="楷体"/>
          <w:bCs/>
          <w:sz w:val="21"/>
          <w:szCs w:val="21"/>
        </w:rPr>
        <w:t xml:space="preserve">                                          -18-</w:t>
      </w:r>
    </w:p>
    <w:p w14:paraId="126B787D">
      <w:pPr>
        <w:pStyle w:val="6"/>
        <w:shd w:val="clear" w:color="auto" w:fill="FFFFFF"/>
        <w:spacing w:before="0" w:beforeAutospacing="0" w:after="0" w:afterAutospacing="0" w:line="576" w:lineRule="exact"/>
        <w:ind w:firstLine="420" w:firstLineChars="200"/>
        <w:jc w:val="both"/>
        <w:rPr>
          <w:sz w:val="21"/>
          <w:szCs w:val="21"/>
        </w:rPr>
      </w:pPr>
      <w:r>
        <w:rPr>
          <w:rFonts w:hint="eastAsia"/>
          <w:sz w:val="21"/>
          <w:szCs w:val="21"/>
        </w:rPr>
        <w:t>（五）实施地质灾害综合治理和避险移民搬迁工程</w:t>
      </w:r>
      <w:r>
        <w:rPr>
          <w:sz w:val="21"/>
          <w:szCs w:val="21"/>
        </w:rPr>
        <w:t xml:space="preserve">                            -18-</w:t>
      </w:r>
    </w:p>
    <w:p w14:paraId="4753DF75">
      <w:pPr>
        <w:pStyle w:val="6"/>
        <w:shd w:val="clear" w:color="auto" w:fill="FFFFFF"/>
        <w:spacing w:before="0" w:beforeAutospacing="0" w:after="0" w:afterAutospacing="0" w:line="576" w:lineRule="exact"/>
        <w:ind w:firstLine="420" w:firstLineChars="200"/>
        <w:jc w:val="both"/>
        <w:rPr>
          <w:sz w:val="21"/>
          <w:szCs w:val="21"/>
        </w:rPr>
      </w:pPr>
      <w:r>
        <w:rPr>
          <w:rFonts w:hint="eastAsia"/>
          <w:sz w:val="21"/>
          <w:szCs w:val="21"/>
        </w:rPr>
        <w:t>（六）实施应急救援中心建设工程</w:t>
      </w:r>
      <w:r>
        <w:rPr>
          <w:sz w:val="21"/>
          <w:szCs w:val="21"/>
        </w:rPr>
        <w:t xml:space="preserve">                                          -18-</w:t>
      </w:r>
    </w:p>
    <w:p w14:paraId="3B9CBD7D">
      <w:pPr>
        <w:pStyle w:val="6"/>
        <w:shd w:val="clear" w:color="auto" w:fill="FFFFFF"/>
        <w:spacing w:before="0" w:beforeAutospacing="0" w:after="0" w:afterAutospacing="0" w:line="576" w:lineRule="exact"/>
        <w:ind w:firstLine="420" w:firstLineChars="200"/>
        <w:jc w:val="both"/>
        <w:rPr>
          <w:sz w:val="21"/>
          <w:szCs w:val="21"/>
        </w:rPr>
      </w:pPr>
      <w:r>
        <w:rPr>
          <w:rFonts w:hint="eastAsia"/>
          <w:sz w:val="21"/>
          <w:szCs w:val="21"/>
        </w:rPr>
        <w:t>（七）实施自然灾害监测预警信息化工程</w:t>
      </w:r>
      <w:r>
        <w:rPr>
          <w:sz w:val="21"/>
          <w:szCs w:val="21"/>
        </w:rPr>
        <w:t xml:space="preserve">                                    -19-</w:t>
      </w:r>
    </w:p>
    <w:p w14:paraId="4F89F786">
      <w:pPr>
        <w:pStyle w:val="6"/>
        <w:shd w:val="clear" w:color="auto" w:fill="FFFFFF"/>
        <w:spacing w:before="0" w:beforeAutospacing="0" w:after="0" w:afterAutospacing="0" w:line="576" w:lineRule="exact"/>
        <w:ind w:firstLine="420" w:firstLineChars="200"/>
        <w:jc w:val="both"/>
        <w:rPr>
          <w:sz w:val="21"/>
          <w:szCs w:val="21"/>
        </w:rPr>
      </w:pPr>
      <w:r>
        <w:rPr>
          <w:rFonts w:hint="eastAsia"/>
          <w:sz w:val="21"/>
          <w:szCs w:val="21"/>
        </w:rPr>
        <w:t>（八）实施自然灾害防治技术装备现代化工程</w:t>
      </w:r>
      <w:r>
        <w:rPr>
          <w:sz w:val="21"/>
          <w:szCs w:val="21"/>
        </w:rPr>
        <w:t xml:space="preserve">                                -19-</w:t>
      </w:r>
    </w:p>
    <w:p w14:paraId="2EFEF276">
      <w:pPr>
        <w:pStyle w:val="6"/>
        <w:shd w:val="clear" w:color="auto" w:fill="FFFFFF"/>
        <w:spacing w:before="0" w:beforeAutospacing="0" w:after="0" w:afterAutospacing="0" w:line="576" w:lineRule="exact"/>
        <w:ind w:firstLine="420" w:firstLineChars="200"/>
        <w:jc w:val="both"/>
        <w:rPr>
          <w:sz w:val="21"/>
          <w:szCs w:val="21"/>
        </w:rPr>
      </w:pPr>
      <w:r>
        <w:rPr>
          <w:rFonts w:hint="eastAsia"/>
          <w:sz w:val="21"/>
          <w:szCs w:val="21"/>
        </w:rPr>
        <w:t>（九）自然灾害救助物资储备体系建设工程</w:t>
      </w:r>
      <w:r>
        <w:rPr>
          <w:sz w:val="21"/>
          <w:szCs w:val="21"/>
        </w:rPr>
        <w:t xml:space="preserve">                                  </w:t>
      </w:r>
      <w:r>
        <w:rPr>
          <w:color w:val="333333"/>
          <w:sz w:val="21"/>
          <w:szCs w:val="21"/>
        </w:rPr>
        <w:t>-19-</w:t>
      </w:r>
    </w:p>
    <w:p w14:paraId="07A24D3E">
      <w:pPr>
        <w:pStyle w:val="6"/>
        <w:shd w:val="clear" w:color="auto" w:fill="FFFFFF"/>
        <w:spacing w:before="0" w:beforeAutospacing="0" w:after="0" w:afterAutospacing="0" w:line="576" w:lineRule="exact"/>
        <w:ind w:firstLine="420" w:firstLineChars="200"/>
        <w:jc w:val="both"/>
        <w:rPr>
          <w:color w:val="333333"/>
          <w:sz w:val="21"/>
          <w:szCs w:val="21"/>
        </w:rPr>
      </w:pPr>
      <w:r>
        <w:rPr>
          <w:rFonts w:hint="eastAsia"/>
          <w:color w:val="333333"/>
          <w:sz w:val="21"/>
          <w:szCs w:val="21"/>
        </w:rPr>
        <w:t>（十）应急避难场所建设工程</w:t>
      </w:r>
      <w:r>
        <w:rPr>
          <w:color w:val="333333"/>
          <w:sz w:val="21"/>
          <w:szCs w:val="21"/>
        </w:rPr>
        <w:t xml:space="preserve">                                              -20-</w:t>
      </w:r>
    </w:p>
    <w:p w14:paraId="350BD83A">
      <w:pPr>
        <w:pStyle w:val="6"/>
        <w:shd w:val="clear" w:color="auto" w:fill="FFFFFF"/>
        <w:spacing w:before="0" w:beforeAutospacing="0" w:after="0" w:afterAutospacing="0" w:line="576" w:lineRule="exact"/>
        <w:ind w:firstLine="420" w:firstLineChars="200"/>
        <w:jc w:val="both"/>
        <w:rPr>
          <w:color w:val="333333"/>
          <w:sz w:val="21"/>
          <w:szCs w:val="21"/>
        </w:rPr>
      </w:pPr>
      <w:r>
        <w:rPr>
          <w:rFonts w:hint="eastAsia"/>
          <w:color w:val="333333"/>
          <w:sz w:val="21"/>
          <w:szCs w:val="21"/>
        </w:rPr>
        <w:t>（十一）防灾减灾科普工程</w:t>
      </w:r>
      <w:r>
        <w:rPr>
          <w:color w:val="333333"/>
          <w:sz w:val="21"/>
          <w:szCs w:val="21"/>
        </w:rPr>
        <w:t xml:space="preserve">                                                -20-</w:t>
      </w:r>
    </w:p>
    <w:p w14:paraId="7FE194FD">
      <w:pPr>
        <w:pStyle w:val="6"/>
        <w:shd w:val="clear" w:color="auto" w:fill="FFFFFF"/>
        <w:overflowPunct w:val="0"/>
        <w:spacing w:before="0" w:beforeAutospacing="0" w:after="0" w:afterAutospacing="0" w:line="576" w:lineRule="exact"/>
        <w:ind w:firstLine="560" w:firstLineChars="200"/>
        <w:jc w:val="both"/>
        <w:rPr>
          <w:color w:val="333333"/>
          <w:sz w:val="21"/>
          <w:szCs w:val="21"/>
        </w:rPr>
      </w:pPr>
      <w:r>
        <w:rPr>
          <w:rFonts w:hint="eastAsia" w:ascii="黑体" w:eastAsia="黑体"/>
          <w:sz w:val="28"/>
          <w:szCs w:val="28"/>
        </w:rPr>
        <w:t>六、保障措施</w:t>
      </w:r>
      <w:r>
        <w:rPr>
          <w:sz w:val="28"/>
          <w:szCs w:val="28"/>
        </w:rPr>
        <w:t xml:space="preserve">  </w:t>
      </w:r>
      <w:r>
        <w:t xml:space="preserve">                                              </w:t>
      </w:r>
      <w:r>
        <w:rPr>
          <w:color w:val="333333"/>
          <w:sz w:val="21"/>
          <w:szCs w:val="21"/>
        </w:rPr>
        <w:t>-20-</w:t>
      </w:r>
    </w:p>
    <w:p w14:paraId="5B069C57">
      <w:pPr>
        <w:spacing w:line="576" w:lineRule="exact"/>
        <w:ind w:firstLine="420" w:firstLineChars="200"/>
        <w:contextualSpacing/>
        <w:rPr>
          <w:rFonts w:ascii="宋体" w:hAnsi="宋体" w:eastAsia="宋体"/>
          <w:kern w:val="0"/>
          <w:szCs w:val="21"/>
        </w:rPr>
      </w:pPr>
      <w:r>
        <w:rPr>
          <w:rFonts w:hint="eastAsia" w:ascii="宋体" w:hAnsi="宋体" w:eastAsia="宋体"/>
          <w:kern w:val="0"/>
          <w:szCs w:val="21"/>
        </w:rPr>
        <w:t>（一）加强组织领导</w:t>
      </w:r>
      <w:r>
        <w:rPr>
          <w:rFonts w:ascii="宋体" w:hAnsi="宋体" w:eastAsia="宋体"/>
          <w:kern w:val="0"/>
          <w:szCs w:val="21"/>
        </w:rPr>
        <w:t xml:space="preserve">                                                      -20-</w:t>
      </w:r>
    </w:p>
    <w:p w14:paraId="59A95E87">
      <w:pPr>
        <w:spacing w:line="576" w:lineRule="exact"/>
        <w:ind w:firstLine="420" w:firstLineChars="200"/>
        <w:contextualSpacing/>
        <w:rPr>
          <w:rFonts w:ascii="宋体" w:hAnsi="宋体" w:eastAsia="宋体"/>
          <w:szCs w:val="21"/>
        </w:rPr>
      </w:pPr>
      <w:r>
        <w:rPr>
          <w:rFonts w:hint="eastAsia" w:ascii="宋体" w:hAnsi="宋体" w:eastAsia="宋体"/>
          <w:szCs w:val="21"/>
        </w:rPr>
        <w:t>（二）保障资金落实</w:t>
      </w:r>
      <w:r>
        <w:rPr>
          <w:rFonts w:ascii="宋体" w:hAnsi="宋体" w:eastAsia="宋体"/>
          <w:szCs w:val="21"/>
        </w:rPr>
        <w:t xml:space="preserve">                                                      -21-</w:t>
      </w:r>
    </w:p>
    <w:p w14:paraId="214F90C1">
      <w:pPr>
        <w:spacing w:line="576" w:lineRule="exact"/>
        <w:ind w:firstLine="420" w:firstLineChars="200"/>
        <w:contextualSpacing/>
        <w:rPr>
          <w:rFonts w:ascii="宋体" w:hAnsi="宋体" w:eastAsia="宋体"/>
          <w:color w:val="333333"/>
          <w:szCs w:val="21"/>
        </w:rPr>
      </w:pPr>
      <w:r>
        <w:rPr>
          <w:rFonts w:hint="eastAsia" w:ascii="宋体" w:hAnsi="宋体" w:eastAsia="宋体"/>
          <w:color w:val="333333"/>
          <w:szCs w:val="21"/>
        </w:rPr>
        <w:t>（三）加强人才培养</w:t>
      </w:r>
      <w:r>
        <w:rPr>
          <w:rFonts w:ascii="宋体" w:hAnsi="宋体" w:eastAsia="宋体"/>
          <w:color w:val="333333"/>
          <w:szCs w:val="21"/>
        </w:rPr>
        <w:t xml:space="preserve">                                                      -21-</w:t>
      </w:r>
    </w:p>
    <w:p w14:paraId="71514E00">
      <w:pPr>
        <w:spacing w:line="576" w:lineRule="exact"/>
        <w:ind w:firstLine="420" w:firstLineChars="200"/>
        <w:contextualSpacing/>
        <w:rPr>
          <w:rFonts w:ascii="宋体" w:hAnsi="宋体" w:eastAsia="宋体"/>
          <w:kern w:val="0"/>
          <w:szCs w:val="21"/>
        </w:rPr>
      </w:pPr>
      <w:r>
        <w:rPr>
          <w:rFonts w:hint="eastAsia" w:ascii="宋体" w:hAnsi="宋体" w:eastAsia="宋体"/>
          <w:kern w:val="0"/>
          <w:szCs w:val="21"/>
        </w:rPr>
        <w:t>（四）强化监督管理</w:t>
      </w:r>
      <w:r>
        <w:rPr>
          <w:rFonts w:ascii="宋体" w:hAnsi="宋体" w:eastAsia="宋体"/>
          <w:kern w:val="0"/>
          <w:szCs w:val="21"/>
        </w:rPr>
        <w:t xml:space="preserve">                                                      -21-</w:t>
      </w:r>
      <w:r>
        <w:rPr>
          <w:rFonts w:ascii="宋体" w:hAnsi="宋体" w:eastAsia="宋体"/>
          <w:kern w:val="0"/>
          <w:szCs w:val="21"/>
        </w:rPr>
        <w:br w:type="page"/>
      </w:r>
    </w:p>
    <w:p w14:paraId="5CFECD00">
      <w:pPr>
        <w:pStyle w:val="20"/>
        <w:tabs>
          <w:tab w:val="right" w:leader="dot" w:pos="8504"/>
        </w:tabs>
        <w:spacing w:line="576" w:lineRule="exact"/>
        <w:ind w:firstLine="880" w:firstLineChars="200"/>
        <w:jc w:val="both"/>
        <w:rPr>
          <w:rFonts w:ascii="方正小标宋简体" w:hAnsi="黑体" w:eastAsia="方正小标宋简体"/>
          <w:sz w:val="44"/>
          <w:szCs w:val="44"/>
        </w:rPr>
      </w:pPr>
      <w:r>
        <w:rPr>
          <w:rFonts w:hint="eastAsia" w:ascii="方正小标宋简体" w:hAnsi="黑体" w:eastAsia="方正小标宋简体"/>
          <w:sz w:val="44"/>
          <w:szCs w:val="44"/>
        </w:rPr>
        <w:t>阜新市综合防灾减灾规划</w:t>
      </w:r>
      <w:r>
        <w:rPr>
          <w:rFonts w:ascii="方正小标宋简体" w:hAnsi="黑体" w:eastAsia="方正小标宋简体"/>
          <w:sz w:val="44"/>
          <w:szCs w:val="44"/>
        </w:rPr>
        <w:t>(2021-2025</w:t>
      </w:r>
      <w:r>
        <w:rPr>
          <w:rFonts w:hint="eastAsia" w:ascii="方正小标宋简体" w:hAnsi="黑体" w:eastAsia="方正小标宋简体"/>
          <w:sz w:val="44"/>
          <w:szCs w:val="44"/>
        </w:rPr>
        <w:t>年</w:t>
      </w:r>
      <w:r>
        <w:rPr>
          <w:rFonts w:ascii="方正小标宋简体" w:hAnsi="黑体" w:eastAsia="方正小标宋简体"/>
          <w:sz w:val="44"/>
          <w:szCs w:val="44"/>
        </w:rPr>
        <w:t>)</w:t>
      </w:r>
    </w:p>
    <w:p w14:paraId="1F87EE3D">
      <w:pPr>
        <w:spacing w:line="576" w:lineRule="exact"/>
        <w:contextualSpacing/>
        <w:rPr>
          <w:rFonts w:ascii="仿宋" w:hAnsi="仿宋" w:eastAsia="仿宋"/>
          <w:sz w:val="32"/>
          <w:szCs w:val="32"/>
        </w:rPr>
      </w:pPr>
    </w:p>
    <w:p w14:paraId="2394B568">
      <w:pPr>
        <w:overflowPunct w:val="0"/>
        <w:autoSpaceDE w:val="0"/>
        <w:autoSpaceDN w:val="0"/>
        <w:spacing w:line="576" w:lineRule="exact"/>
        <w:ind w:firstLine="640" w:firstLineChars="200"/>
        <w:rPr>
          <w:rFonts w:ascii="Times New Roman" w:hAnsi="Times New Roman" w:eastAsia="仿宋_GB2312"/>
          <w:kern w:val="10"/>
          <w:sz w:val="32"/>
          <w:szCs w:val="32"/>
        </w:rPr>
      </w:pPr>
      <w:r>
        <w:rPr>
          <w:rFonts w:hint="eastAsia" w:ascii="Times New Roman" w:hAnsi="Times New Roman" w:eastAsia="仿宋_GB2312"/>
          <w:kern w:val="10"/>
          <w:sz w:val="32"/>
          <w:szCs w:val="32"/>
        </w:rPr>
        <w:t>为推进全市自然灾害防治体系和防治能力建设现代化，提升全市抵御自然灾害的能力，有效防范和应对重特大灾害挑战，切实维护人民群众生命财产安全，保障经济社会平稳健康发展，依据</w:t>
      </w:r>
      <w:r>
        <w:rPr>
          <w:rFonts w:hint="eastAsia" w:ascii="Times New Roman" w:eastAsia="仿宋_GB2312"/>
          <w:sz w:val="32"/>
          <w:szCs w:val="32"/>
        </w:rPr>
        <w:t>《关于切实加强自然灾害防治工作的实施意见》</w:t>
      </w:r>
      <w:r>
        <w:rPr>
          <w:rFonts w:hint="eastAsia" w:ascii="Times New Roman" w:hAnsi="Times New Roman" w:eastAsia="仿宋_GB2312"/>
          <w:sz w:val="32"/>
          <w:szCs w:val="32"/>
        </w:rPr>
        <w:t>（</w:t>
      </w:r>
      <w:r>
        <w:rPr>
          <w:rFonts w:hint="eastAsia" w:ascii="Times New Roman" w:hAnsi="Times New Roman" w:eastAsia="仿宋_GB2312"/>
          <w:sz w:val="32"/>
        </w:rPr>
        <w:t>辽委办发</w:t>
      </w:r>
      <w:r>
        <w:rPr>
          <w:rFonts w:hint="eastAsia" w:ascii="仿宋_GB2312" w:hAnsi="Times New Roman" w:eastAsia="仿宋_GB2312"/>
          <w:sz w:val="32"/>
        </w:rPr>
        <w:t>〔</w:t>
      </w:r>
      <w:r>
        <w:rPr>
          <w:rFonts w:ascii="仿宋_GB2312" w:hAnsi="Times New Roman" w:eastAsia="仿宋_GB2312"/>
          <w:sz w:val="32"/>
        </w:rPr>
        <w:t>2019</w:t>
      </w:r>
      <w:r>
        <w:rPr>
          <w:rFonts w:hint="eastAsia" w:ascii="仿宋_GB2312" w:hAnsi="Times New Roman" w:eastAsia="仿宋_GB2312"/>
          <w:sz w:val="32"/>
        </w:rPr>
        <w:t>〕</w:t>
      </w:r>
      <w:r>
        <w:rPr>
          <w:rFonts w:ascii="仿宋_GB2312" w:hAnsi="Times New Roman" w:eastAsia="仿宋_GB2312"/>
          <w:sz w:val="32"/>
        </w:rPr>
        <w:t>76</w:t>
      </w:r>
      <w:r>
        <w:rPr>
          <w:rFonts w:hint="eastAsia" w:ascii="仿宋_GB2312" w:hAnsi="Times New Roman" w:eastAsia="仿宋_GB2312"/>
          <w:sz w:val="32"/>
        </w:rPr>
        <w:t>号</w:t>
      </w:r>
      <w:r>
        <w:rPr>
          <w:rFonts w:hint="eastAsia" w:ascii="Times New Roman" w:hAnsi="Times New Roman" w:eastAsia="仿宋_GB2312"/>
          <w:sz w:val="32"/>
          <w:szCs w:val="32"/>
        </w:rPr>
        <w:t>）</w:t>
      </w:r>
      <w:r>
        <w:rPr>
          <w:rFonts w:hint="eastAsia" w:ascii="Times New Roman" w:eastAsia="仿宋_GB2312"/>
          <w:sz w:val="32"/>
          <w:szCs w:val="32"/>
        </w:rPr>
        <w:t>及</w:t>
      </w:r>
      <w:r>
        <w:rPr>
          <w:rFonts w:hint="eastAsia" w:ascii="Times New Roman" w:hAnsi="Times New Roman" w:eastAsia="仿宋_GB2312"/>
          <w:kern w:val="10"/>
          <w:sz w:val="32"/>
          <w:szCs w:val="32"/>
        </w:rPr>
        <w:t>《辽宁省综合防灾减灾规划</w:t>
      </w:r>
      <w:r>
        <w:rPr>
          <w:rFonts w:ascii="仿宋_GB2312" w:hAnsi="Times New Roman" w:eastAsia="仿宋_GB2312"/>
          <w:kern w:val="10"/>
          <w:sz w:val="32"/>
          <w:szCs w:val="32"/>
        </w:rPr>
        <w:t>(2021-2025</w:t>
      </w:r>
      <w:r>
        <w:rPr>
          <w:rFonts w:hint="eastAsia" w:ascii="仿宋_GB2312" w:hAnsi="Times New Roman" w:eastAsia="仿宋_GB2312"/>
          <w:kern w:val="10"/>
          <w:sz w:val="32"/>
          <w:szCs w:val="32"/>
        </w:rPr>
        <w:t>年</w:t>
      </w:r>
      <w:r>
        <w:rPr>
          <w:rFonts w:ascii="仿宋_GB2312" w:hAnsi="Times New Roman" w:eastAsia="仿宋_GB2312"/>
          <w:kern w:val="10"/>
          <w:sz w:val="32"/>
          <w:szCs w:val="32"/>
        </w:rPr>
        <w:t>)</w:t>
      </w:r>
      <w:r>
        <w:rPr>
          <w:rFonts w:hint="eastAsia" w:ascii="Times New Roman" w:hAnsi="Times New Roman" w:eastAsia="仿宋_GB2312"/>
          <w:kern w:val="10"/>
          <w:sz w:val="32"/>
          <w:szCs w:val="32"/>
        </w:rPr>
        <w:t>》</w:t>
      </w:r>
      <w:r>
        <w:rPr>
          <w:rFonts w:hint="eastAsia" w:ascii="Times New Roman" w:hAnsi="Times New Roman" w:eastAsia="仿宋_GB2312"/>
          <w:sz w:val="32"/>
          <w:szCs w:val="32"/>
        </w:rPr>
        <w:t>，</w:t>
      </w:r>
      <w:r>
        <w:rPr>
          <w:rFonts w:hint="eastAsia" w:ascii="Times New Roman" w:hAnsi="Times New Roman" w:eastAsia="仿宋_GB2312"/>
          <w:kern w:val="10"/>
          <w:sz w:val="32"/>
          <w:szCs w:val="32"/>
        </w:rPr>
        <w:t>制定本规划。</w:t>
      </w:r>
    </w:p>
    <w:p w14:paraId="49BBE92E">
      <w:pPr>
        <w:overflowPunct w:val="0"/>
        <w:autoSpaceDE w:val="0"/>
        <w:autoSpaceDN w:val="0"/>
        <w:spacing w:line="576" w:lineRule="exact"/>
        <w:ind w:firstLine="640" w:firstLineChars="200"/>
        <w:rPr>
          <w:rFonts w:ascii="Times New Roman" w:hAnsi="Times New Roman" w:eastAsia="仿宋_GB2312"/>
          <w:sz w:val="32"/>
          <w:szCs w:val="32"/>
        </w:rPr>
      </w:pPr>
      <w:r>
        <w:rPr>
          <w:rFonts w:hint="eastAsia" w:ascii="Times New Roman" w:hAnsi="黑体" w:eastAsia="黑体"/>
          <w:sz w:val="32"/>
          <w:szCs w:val="32"/>
        </w:rPr>
        <w:t>一、</w:t>
      </w:r>
      <w:r>
        <w:rPr>
          <w:rFonts w:ascii="Times New Roman" w:hAnsi="Times New Roman" w:eastAsia="黑体"/>
          <w:sz w:val="32"/>
          <w:szCs w:val="32"/>
        </w:rPr>
        <w:t>“</w:t>
      </w:r>
      <w:r>
        <w:rPr>
          <w:rFonts w:hint="eastAsia" w:ascii="Times New Roman" w:hAnsi="黑体" w:eastAsia="黑体"/>
          <w:sz w:val="32"/>
          <w:szCs w:val="32"/>
        </w:rPr>
        <w:t>十三五</w:t>
      </w:r>
      <w:r>
        <w:rPr>
          <w:rFonts w:ascii="Times New Roman" w:hAnsi="Times New Roman" w:eastAsia="黑体"/>
          <w:sz w:val="32"/>
          <w:szCs w:val="32"/>
        </w:rPr>
        <w:t>”</w:t>
      </w:r>
      <w:r>
        <w:rPr>
          <w:rFonts w:hint="eastAsia" w:ascii="Times New Roman" w:hAnsi="黑体" w:eastAsia="黑体"/>
          <w:sz w:val="32"/>
          <w:szCs w:val="32"/>
        </w:rPr>
        <w:t>时期全市防灾减灾工作成效</w:t>
      </w:r>
    </w:p>
    <w:p w14:paraId="383088CB">
      <w:pPr>
        <w:overflowPunct w:val="0"/>
        <w:autoSpaceDE w:val="0"/>
        <w:autoSpaceDN w:val="0"/>
        <w:spacing w:line="576"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期间，我市各类自然灾害较为频发，偶有极端性天气，遭受了干旱、风雹、台风、洪涝、生物等自然灾害</w:t>
      </w:r>
      <w:r>
        <w:rPr>
          <w:rFonts w:ascii="Times New Roman" w:hAnsi="Times New Roman" w:eastAsia="仿宋_GB2312"/>
          <w:sz w:val="32"/>
          <w:szCs w:val="32"/>
        </w:rPr>
        <w:t>,</w:t>
      </w:r>
      <w:r>
        <w:rPr>
          <w:rFonts w:hint="eastAsia" w:ascii="Times New Roman" w:hAnsi="Times New Roman" w:eastAsia="仿宋_GB2312"/>
          <w:color w:val="000000"/>
          <w:kern w:val="0"/>
          <w:sz w:val="32"/>
          <w:szCs w:val="32"/>
        </w:rPr>
        <w:t>给经济社会发展和人民群众生活带来严重影响。</w:t>
      </w:r>
      <w:r>
        <w:rPr>
          <w:rFonts w:hint="eastAsia" w:ascii="Times New Roman" w:hAnsi="Times New Roman" w:eastAsia="仿宋_GB2312"/>
          <w:sz w:val="32"/>
          <w:szCs w:val="32"/>
        </w:rPr>
        <w:t>面对严峻复杂的灾害形势，市委、市政府坚强领导、科学决策，各县区、市减灾委各成员单位各司其职、紧密配合，</w:t>
      </w:r>
      <w:r>
        <w:rPr>
          <w:rFonts w:hint="eastAsia" w:ascii="Times New Roman" w:hAnsi="Times New Roman" w:eastAsia="仿宋_GB2312"/>
          <w:color w:val="000000"/>
          <w:kern w:val="0"/>
          <w:sz w:val="32"/>
          <w:szCs w:val="32"/>
        </w:rPr>
        <w:t>高效有序开展抗灾救灾工作，</w:t>
      </w:r>
      <w:r>
        <w:rPr>
          <w:rFonts w:hint="eastAsia" w:ascii="Times New Roman" w:hAnsi="Times New Roman" w:eastAsia="仿宋_GB2312"/>
          <w:sz w:val="32"/>
          <w:szCs w:val="32"/>
        </w:rPr>
        <w:t>平稳地完成了机构改革过程中的职责调整，有序推进防灾减灾救灾能力提升，降低了灾害风险，减小了灾害损失，较好的完成了</w:t>
      </w: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规划确定的目标任务，各方面工作取得积极进展。</w:t>
      </w:r>
    </w:p>
    <w:p w14:paraId="307196F8">
      <w:pPr>
        <w:overflowPunct w:val="0"/>
        <w:autoSpaceDE w:val="0"/>
        <w:autoSpaceDN w:val="0"/>
        <w:spacing w:line="576" w:lineRule="exact"/>
        <w:ind w:firstLine="640" w:firstLineChars="200"/>
        <w:rPr>
          <w:rFonts w:ascii="Times New Roman" w:hAnsi="Times New Roman" w:eastAsia="楷体_GB2312"/>
          <w:sz w:val="32"/>
          <w:szCs w:val="32"/>
        </w:rPr>
      </w:pPr>
      <w:r>
        <w:rPr>
          <w:rFonts w:hint="eastAsia" w:ascii="Times New Roman" w:hAnsi="Times New Roman" w:eastAsia="楷体_GB2312"/>
          <w:sz w:val="32"/>
          <w:szCs w:val="32"/>
        </w:rPr>
        <w:t>（一）体制机制更加健全，工作合力进一步加强</w:t>
      </w:r>
    </w:p>
    <w:p w14:paraId="5889518B">
      <w:pPr>
        <w:overflowPunct w:val="0"/>
        <w:autoSpaceDE w:val="0"/>
        <w:autoSpaceDN w:val="0"/>
        <w:spacing w:line="576"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时期，我市先后出台、修订了《阜新市自然灾害救助应急预案》</w:t>
      </w:r>
      <w:r>
        <w:rPr>
          <w:rFonts w:hint="eastAsia" w:ascii="Times New Roman" w:eastAsia="仿宋_GB2312"/>
          <w:sz w:val="32"/>
          <w:szCs w:val="32"/>
        </w:rPr>
        <w:t>《</w:t>
      </w:r>
      <w:r>
        <w:rPr>
          <w:rFonts w:hint="eastAsia" w:ascii="Times New Roman" w:hAnsi="Times New Roman" w:eastAsia="仿宋_GB2312"/>
          <w:sz w:val="32"/>
          <w:szCs w:val="32"/>
        </w:rPr>
        <w:t>阜新市建立健全自然灾害监测预警制度的</w:t>
      </w:r>
      <w:r>
        <w:rPr>
          <w:rFonts w:hint="eastAsia" w:ascii="Times New Roman" w:eastAsia="仿宋_GB2312"/>
          <w:sz w:val="32"/>
          <w:szCs w:val="32"/>
        </w:rPr>
        <w:t>实施意见》</w:t>
      </w:r>
      <w:r>
        <w:rPr>
          <w:rFonts w:hint="eastAsia" w:ascii="Times New Roman" w:hAnsi="Times New Roman" w:eastAsia="仿宋_GB2312"/>
          <w:sz w:val="32"/>
          <w:szCs w:val="32"/>
        </w:rPr>
        <w:t>《阜新市</w:t>
      </w:r>
      <w:r>
        <w:rPr>
          <w:rStyle w:val="11"/>
          <w:rFonts w:hint="eastAsia" w:ascii="Times New Roman" w:hAnsi="Times New Roman" w:eastAsia="仿宋_GB2312"/>
          <w:b w:val="0"/>
          <w:color w:val="000000"/>
          <w:sz w:val="32"/>
          <w:szCs w:val="32"/>
          <w:shd w:val="clear" w:color="auto" w:fill="FFFFFF"/>
        </w:rPr>
        <w:t>自然灾害综合会商管理暂行办法</w:t>
      </w:r>
      <w:r>
        <w:rPr>
          <w:rFonts w:hint="eastAsia" w:ascii="Times New Roman" w:hAnsi="Times New Roman" w:eastAsia="仿宋_GB2312"/>
          <w:sz w:val="32"/>
          <w:szCs w:val="32"/>
        </w:rPr>
        <w:t>》《阜新市</w:t>
      </w:r>
      <w:r>
        <w:rPr>
          <w:rStyle w:val="11"/>
          <w:rFonts w:hint="eastAsia" w:ascii="Times New Roman" w:hAnsi="Times New Roman" w:eastAsia="仿宋_GB2312"/>
          <w:b w:val="0"/>
          <w:color w:val="000000"/>
          <w:sz w:val="32"/>
          <w:szCs w:val="32"/>
          <w:shd w:val="clear" w:color="auto" w:fill="FFFFFF"/>
        </w:rPr>
        <w:t>自然灾害灾情报送和会商制度</w:t>
      </w:r>
      <w:r>
        <w:rPr>
          <w:rFonts w:hint="eastAsia" w:ascii="Times New Roman" w:hAnsi="Times New Roman" w:eastAsia="仿宋_GB2312"/>
          <w:sz w:val="32"/>
          <w:szCs w:val="32"/>
        </w:rPr>
        <w:t>》等规范性文件，建立了减灾救灾标准体系，防灾减灾救灾政策法规体系不断完善。重新</w:t>
      </w:r>
      <w:r>
        <w:rPr>
          <w:rFonts w:hint="eastAsia" w:ascii="Times New Roman" w:hAnsi="Times New Roman" w:eastAsia="仿宋_GB2312"/>
          <w:color w:val="333333"/>
          <w:sz w:val="32"/>
          <w:szCs w:val="32"/>
        </w:rPr>
        <w:t>调整</w:t>
      </w:r>
      <w:r>
        <w:rPr>
          <w:rFonts w:hint="eastAsia" w:ascii="Times New Roman" w:hAnsi="Times New Roman" w:eastAsia="仿宋_GB2312"/>
          <w:sz w:val="32"/>
          <w:szCs w:val="32"/>
        </w:rPr>
        <w:t>明确阜新市减灾委员会组成人员及成员单位的工作职责，形成了党委政府统一领导、部门协同配合、分级分类管理、社会广泛参与的防灾减灾组织体系。市减灾委综合协调，各成员单位分工负责，各专业应急指挥部协同配合，基层防灾减灾救灾管理体制进一步完善。全市防灾减灾应急响应、灾情会商、专家咨询、信息共享等工作机制进一步发挥作用，全市各级防灾减灾综合协调机制基本建成，防灾减灾救灾工作呈现统筹推进、协调发展的良好局面。</w:t>
      </w:r>
    </w:p>
    <w:p w14:paraId="77CEADCC">
      <w:pPr>
        <w:shd w:val="clear" w:color="auto" w:fill="FFFFFF"/>
        <w:overflowPunct w:val="0"/>
        <w:autoSpaceDE w:val="0"/>
        <w:autoSpaceDN w:val="0"/>
        <w:snapToGrid w:val="0"/>
        <w:spacing w:line="576" w:lineRule="exact"/>
        <w:ind w:firstLine="640" w:firstLineChars="200"/>
        <w:rPr>
          <w:rFonts w:ascii="Times New Roman" w:hAnsi="Times New Roman" w:eastAsia="楷体_GB2312"/>
          <w:sz w:val="32"/>
          <w:szCs w:val="32"/>
        </w:rPr>
      </w:pPr>
      <w:r>
        <w:rPr>
          <w:rFonts w:hint="eastAsia" w:ascii="Times New Roman" w:hAnsi="Times New Roman" w:eastAsia="楷体_GB2312"/>
          <w:sz w:val="32"/>
          <w:szCs w:val="32"/>
        </w:rPr>
        <w:t>（二）防灾减灾救灾基础更加巩固，综合防范能力进一步提升</w:t>
      </w:r>
    </w:p>
    <w:p w14:paraId="7B3C67F5">
      <w:pPr>
        <w:shd w:val="clear" w:color="auto" w:fill="FFFFFF"/>
        <w:overflowPunct w:val="0"/>
        <w:autoSpaceDE w:val="0"/>
        <w:autoSpaceDN w:val="0"/>
        <w:adjustRightInd w:val="0"/>
        <w:snapToGrid w:val="0"/>
        <w:spacing w:line="576"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时期，我市先后实施了防汛抗旱、地质灾害治理、河道综合治理、</w:t>
      </w:r>
      <w:r>
        <w:rPr>
          <w:rFonts w:hint="eastAsia" w:ascii="Times New Roman" w:hAnsi="Times New Roman" w:eastAsia="仿宋_GB2312"/>
          <w:color w:val="000000"/>
          <w:kern w:val="0"/>
          <w:sz w:val="32"/>
          <w:szCs w:val="32"/>
        </w:rPr>
        <w:t>公路灾害防治、</w:t>
      </w:r>
      <w:r>
        <w:rPr>
          <w:rFonts w:hint="eastAsia" w:ascii="Times New Roman" w:hAnsi="Times New Roman" w:eastAsia="仿宋_GB2312"/>
          <w:sz w:val="32"/>
          <w:szCs w:val="32"/>
        </w:rPr>
        <w:t>减灾安居工程、临河危化企业、尾矿库、</w:t>
      </w:r>
      <w:r>
        <w:rPr>
          <w:rFonts w:hint="eastAsia" w:ascii="Times New Roman" w:hAnsi="仿宋_GB2312" w:eastAsia="仿宋_GB2312"/>
          <w:sz w:val="32"/>
          <w:szCs w:val="32"/>
          <w:shd w:val="clear" w:color="auto" w:fill="FFFFFF"/>
        </w:rPr>
        <w:t>铁路道口</w:t>
      </w:r>
      <w:r>
        <w:rPr>
          <w:rFonts w:hint="eastAsia" w:ascii="Times New Roman" w:hAnsi="Times New Roman" w:eastAsia="仿宋_GB2312"/>
          <w:sz w:val="32"/>
          <w:szCs w:val="32"/>
        </w:rPr>
        <w:t>治理等一系列防灾减灾工程项目，增强了基础设施的防灾减灾能力。防灾减灾救灾人才和专业队伍建设进一步加强，</w:t>
      </w:r>
      <w:r>
        <w:rPr>
          <w:rFonts w:hint="eastAsia" w:ascii="Times New Roman" w:hAnsi="仿宋_GB2312" w:eastAsia="仿宋_GB2312"/>
          <w:sz w:val="32"/>
          <w:szCs w:val="32"/>
        </w:rPr>
        <w:t>我市</w:t>
      </w:r>
      <w:r>
        <w:rPr>
          <w:rFonts w:hint="eastAsia" w:ascii="Times New Roman" w:hAnsi="仿宋_GB2312" w:eastAsia="仿宋_GB2312"/>
          <w:sz w:val="32"/>
          <w:szCs w:val="32"/>
          <w:shd w:val="clear" w:color="auto" w:fill="FFFFFF"/>
        </w:rPr>
        <w:t>现有</w:t>
      </w:r>
      <w:r>
        <w:rPr>
          <w:rFonts w:ascii="仿宋_GB2312" w:hAnsi="Times New Roman" w:eastAsia="仿宋_GB2312"/>
          <w:kern w:val="0"/>
          <w:sz w:val="32"/>
          <w:szCs w:val="32"/>
          <w:shd w:val="clear" w:color="auto" w:fill="FFFFFF"/>
        </w:rPr>
        <w:t>12</w:t>
      </w:r>
      <w:r>
        <w:rPr>
          <w:rFonts w:hint="eastAsia" w:ascii="仿宋_GB2312" w:hAnsi="仿宋_GB2312" w:eastAsia="仿宋_GB2312"/>
          <w:kern w:val="0"/>
          <w:sz w:val="32"/>
          <w:szCs w:val="32"/>
          <w:shd w:val="clear" w:color="auto" w:fill="FFFFFF"/>
        </w:rPr>
        <w:t>个类别、</w:t>
      </w:r>
      <w:r>
        <w:rPr>
          <w:rFonts w:ascii="仿宋_GB2312" w:hAnsi="Times New Roman" w:eastAsia="仿宋_GB2312"/>
          <w:kern w:val="0"/>
          <w:sz w:val="32"/>
          <w:szCs w:val="32"/>
        </w:rPr>
        <w:t>200</w:t>
      </w:r>
      <w:r>
        <w:rPr>
          <w:rFonts w:hint="eastAsia" w:ascii="仿宋_GB2312" w:hAnsi="仿宋_GB2312" w:eastAsia="仿宋_GB2312"/>
          <w:kern w:val="0"/>
          <w:sz w:val="32"/>
          <w:szCs w:val="32"/>
          <w:shd w:val="clear" w:color="auto" w:fill="FFFFFF"/>
        </w:rPr>
        <w:t>余人的应急管理专家队伍；</w:t>
      </w:r>
      <w:r>
        <w:rPr>
          <w:rFonts w:hint="eastAsia" w:ascii="仿宋_GB2312" w:hAnsi="仿宋_GB2312" w:eastAsia="仿宋_GB2312"/>
          <w:sz w:val="32"/>
          <w:szCs w:val="32"/>
        </w:rPr>
        <w:t>综合救援队伍</w:t>
      </w:r>
      <w:r>
        <w:rPr>
          <w:rFonts w:ascii="仿宋_GB2312" w:hAnsi="Times New Roman" w:eastAsia="仿宋_GB2312"/>
          <w:sz w:val="32"/>
          <w:szCs w:val="32"/>
        </w:rPr>
        <w:t>1</w:t>
      </w:r>
      <w:r>
        <w:rPr>
          <w:rFonts w:hint="eastAsia" w:ascii="仿宋_GB2312" w:hAnsi="仿宋_GB2312" w:eastAsia="仿宋_GB2312"/>
          <w:sz w:val="32"/>
          <w:szCs w:val="32"/>
        </w:rPr>
        <w:t>支（</w:t>
      </w:r>
      <w:r>
        <w:rPr>
          <w:rFonts w:hint="eastAsia" w:ascii="仿宋_GB2312" w:hAnsi="仿宋_GB2312" w:eastAsia="仿宋_GB2312"/>
          <w:sz w:val="32"/>
          <w:szCs w:val="32"/>
          <w:shd w:val="clear" w:color="auto" w:fill="FFFFFF"/>
        </w:rPr>
        <w:t>阜新市消防救援支队</w:t>
      </w:r>
      <w:r>
        <w:rPr>
          <w:rFonts w:hint="eastAsia" w:ascii="仿宋_GB2312" w:hAnsi="仿宋_GB2312" w:eastAsia="仿宋_GB2312"/>
          <w:sz w:val="32"/>
          <w:szCs w:val="32"/>
        </w:rPr>
        <w:t>）、专职队伍</w:t>
      </w:r>
      <w:r>
        <w:rPr>
          <w:rFonts w:ascii="仿宋_GB2312" w:hAnsi="Times New Roman" w:eastAsia="仿宋_GB2312"/>
          <w:sz w:val="32"/>
          <w:szCs w:val="32"/>
        </w:rPr>
        <w:t>2</w:t>
      </w:r>
      <w:r>
        <w:rPr>
          <w:rFonts w:hint="eastAsia" w:ascii="仿宋_GB2312" w:hAnsi="仿宋_GB2312" w:eastAsia="仿宋_GB2312"/>
          <w:sz w:val="32"/>
          <w:szCs w:val="32"/>
        </w:rPr>
        <w:t>支（</w:t>
      </w:r>
      <w:r>
        <w:rPr>
          <w:rFonts w:hint="eastAsia" w:ascii="仿宋_GB2312" w:hAnsi="仿宋_GB2312" w:eastAsia="仿宋_GB2312"/>
          <w:sz w:val="32"/>
          <w:szCs w:val="32"/>
          <w:shd w:val="clear" w:color="auto" w:fill="FFFFFF"/>
        </w:rPr>
        <w:t>阜新市地方煤矿救援队、大唐国际阜新煤制天然气有限责任公司消防队），同时健全了</w:t>
      </w:r>
      <w:r>
        <w:rPr>
          <w:rFonts w:hint="eastAsia" w:ascii="仿宋_GB2312" w:hAnsi="仿宋_GB2312" w:eastAsia="仿宋_GB2312"/>
          <w:kern w:val="0"/>
          <w:sz w:val="32"/>
          <w:szCs w:val="32"/>
          <w:shd w:val="clear" w:color="auto" w:fill="FFFFFF"/>
        </w:rPr>
        <w:t>医疗救护、通信保障、公路铁路抢修、危化品、动植</w:t>
      </w:r>
      <w:r>
        <w:rPr>
          <w:rFonts w:hint="eastAsia" w:ascii="Times New Roman" w:hAnsi="仿宋_GB2312" w:eastAsia="仿宋_GB2312"/>
          <w:kern w:val="0"/>
          <w:sz w:val="32"/>
          <w:szCs w:val="32"/>
          <w:shd w:val="clear" w:color="auto" w:fill="FFFFFF"/>
        </w:rPr>
        <w:t>物疫情等涉及公共安全以及电力、燃气、供水、排水、供热等民生领域专业救援队伍；</w:t>
      </w:r>
      <w:r>
        <w:rPr>
          <w:rFonts w:hint="eastAsia" w:ascii="仿宋_GB2312" w:hAnsi="仿宋_GB2312" w:eastAsia="仿宋_GB2312"/>
          <w:sz w:val="32"/>
          <w:szCs w:val="32"/>
          <w:shd w:val="clear" w:color="auto" w:fill="FFFFFF"/>
        </w:rPr>
        <w:t>兼职应急救援队伍</w:t>
      </w:r>
      <w:r>
        <w:rPr>
          <w:rFonts w:ascii="仿宋_GB2312" w:hAnsi="Times New Roman" w:eastAsia="仿宋_GB2312"/>
          <w:sz w:val="32"/>
          <w:szCs w:val="32"/>
          <w:shd w:val="clear" w:color="auto" w:fill="FFFFFF"/>
        </w:rPr>
        <w:t>101</w:t>
      </w:r>
      <w:r>
        <w:rPr>
          <w:rFonts w:hint="eastAsia" w:ascii="仿宋_GB2312" w:hAnsi="仿宋_GB2312" w:eastAsia="仿宋_GB2312"/>
          <w:sz w:val="32"/>
          <w:szCs w:val="32"/>
          <w:shd w:val="clear" w:color="auto" w:fill="FFFFFF"/>
        </w:rPr>
        <w:t>支、</w:t>
      </w:r>
      <w:r>
        <w:rPr>
          <w:rFonts w:ascii="仿宋_GB2312" w:hAnsi="Times New Roman" w:eastAsia="仿宋_GB2312"/>
          <w:sz w:val="32"/>
          <w:szCs w:val="32"/>
          <w:shd w:val="clear" w:color="auto" w:fill="FFFFFF"/>
        </w:rPr>
        <w:t>4237</w:t>
      </w:r>
      <w:r>
        <w:rPr>
          <w:rFonts w:hint="eastAsia" w:ascii="仿宋_GB2312" w:hAnsi="仿宋_GB2312" w:eastAsia="仿宋_GB2312"/>
          <w:sz w:val="32"/>
          <w:szCs w:val="32"/>
          <w:shd w:val="clear" w:color="auto" w:fill="FFFFFF"/>
        </w:rPr>
        <w:t>人，</w:t>
      </w:r>
      <w:r>
        <w:rPr>
          <w:rFonts w:hint="eastAsia" w:ascii="Times New Roman" w:hAnsi="仿宋_GB2312" w:eastAsia="仿宋_GB2312"/>
          <w:color w:val="000000"/>
          <w:kern w:val="0"/>
          <w:sz w:val="32"/>
          <w:szCs w:val="32"/>
          <w:shd w:val="clear" w:color="auto" w:fill="FFFFFF"/>
        </w:rPr>
        <w:t>全市</w:t>
      </w:r>
      <w:r>
        <w:rPr>
          <w:rFonts w:hint="eastAsia" w:ascii="Times New Roman" w:hAnsi="Times New Roman" w:eastAsia="仿宋_GB2312"/>
          <w:color w:val="000000"/>
          <w:kern w:val="0"/>
          <w:sz w:val="32"/>
          <w:szCs w:val="32"/>
        </w:rPr>
        <w:t>防灾减灾救灾队伍建设全面推进。</w:t>
      </w:r>
      <w:r>
        <w:rPr>
          <w:rFonts w:hint="eastAsia" w:ascii="Times New Roman" w:hAnsi="Times New Roman" w:eastAsia="仿宋_GB2312"/>
          <w:color w:val="000000"/>
          <w:sz w:val="32"/>
          <w:szCs w:val="32"/>
        </w:rPr>
        <w:t>建立了覆盖市、县、乡镇（街道）、村（社区）四级共</w:t>
      </w:r>
      <w:r>
        <w:rPr>
          <w:rFonts w:ascii="Times New Roman" w:hAnsi="Times New Roman" w:eastAsia="仿宋_GB2312"/>
          <w:sz w:val="32"/>
          <w:szCs w:val="32"/>
        </w:rPr>
        <w:t>987</w:t>
      </w:r>
      <w:r>
        <w:rPr>
          <w:rFonts w:hint="eastAsia" w:ascii="Times New Roman" w:hAnsi="仿宋_GB2312" w:eastAsia="仿宋_GB2312"/>
          <w:sz w:val="32"/>
          <w:szCs w:val="32"/>
        </w:rPr>
        <w:t>人的</w:t>
      </w:r>
      <w:r>
        <w:rPr>
          <w:rFonts w:hint="eastAsia" w:ascii="Times New Roman" w:hAnsi="Times New Roman" w:eastAsia="仿宋_GB2312"/>
          <w:color w:val="000000"/>
          <w:sz w:val="32"/>
          <w:szCs w:val="32"/>
        </w:rPr>
        <w:t>灾害信息员队伍，</w:t>
      </w:r>
      <w:r>
        <w:rPr>
          <w:rFonts w:hint="eastAsia" w:ascii="Times New Roman" w:hAnsi="Times New Roman" w:eastAsia="仿宋_GB2312"/>
          <w:sz w:val="32"/>
          <w:szCs w:val="32"/>
        </w:rPr>
        <w:t>实现了乡镇（街道）、村（社区）灾害信息员网络</w:t>
      </w:r>
      <w:r>
        <w:rPr>
          <w:rFonts w:hint="eastAsia" w:ascii="Times New Roman" w:hAnsi="Times New Roman" w:eastAsia="仿宋_GB2312"/>
          <w:sz w:val="32"/>
          <w:szCs w:val="32"/>
          <w:lang w:eastAsia="zh-CN"/>
        </w:rPr>
        <w:t>全覆盖</w:t>
      </w:r>
      <w:r>
        <w:rPr>
          <w:rFonts w:hint="eastAsia" w:ascii="Times New Roman" w:hAnsi="Times New Roman" w:eastAsia="仿宋_GB2312"/>
          <w:sz w:val="32"/>
          <w:szCs w:val="32"/>
        </w:rPr>
        <w:t>。</w:t>
      </w:r>
      <w:r>
        <w:rPr>
          <w:rFonts w:hint="eastAsia" w:ascii="Times New Roman" w:eastAsia="仿宋_GB2312"/>
          <w:sz w:val="32"/>
          <w:szCs w:val="32"/>
        </w:rPr>
        <w:t>争取多方支援，救助受灾群众。</w:t>
      </w: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时期，全市下拨</w:t>
      </w:r>
      <w:r>
        <w:rPr>
          <w:rFonts w:hint="eastAsia" w:ascii="Times New Roman" w:hAnsi="仿宋_GB2312" w:eastAsia="仿宋_GB2312"/>
          <w:sz w:val="32"/>
          <w:szCs w:val="32"/>
        </w:rPr>
        <w:t>冬春生活救助</w:t>
      </w:r>
      <w:r>
        <w:rPr>
          <w:rFonts w:hint="eastAsia" w:ascii="Times New Roman" w:hAnsi="Times New Roman" w:eastAsia="仿宋_GB2312"/>
          <w:sz w:val="32"/>
          <w:szCs w:val="32"/>
        </w:rPr>
        <w:t>资金</w:t>
      </w:r>
      <w:r>
        <w:rPr>
          <w:rFonts w:ascii="Times New Roman" w:hAnsi="Times New Roman" w:eastAsia="仿宋_GB2312"/>
          <w:sz w:val="32"/>
          <w:szCs w:val="32"/>
        </w:rPr>
        <w:t>4927.7</w:t>
      </w:r>
      <w:r>
        <w:rPr>
          <w:rFonts w:hint="eastAsia" w:ascii="Times New Roman" w:hAnsi="Times New Roman" w:eastAsia="仿宋_GB2312"/>
          <w:sz w:val="32"/>
          <w:szCs w:val="32"/>
        </w:rPr>
        <w:t>万元，救助受灾群众</w:t>
      </w:r>
      <w:r>
        <w:rPr>
          <w:rFonts w:ascii="Times New Roman" w:hAnsi="Times New Roman" w:eastAsia="仿宋_GB2312"/>
          <w:sz w:val="32"/>
          <w:szCs w:val="32"/>
        </w:rPr>
        <w:t>44.24</w:t>
      </w:r>
      <w:r>
        <w:rPr>
          <w:rFonts w:hint="eastAsia" w:ascii="Times New Roman" w:hAnsi="Times New Roman" w:eastAsia="仿宋_GB2312"/>
          <w:sz w:val="32"/>
          <w:szCs w:val="32"/>
        </w:rPr>
        <w:t>万人次（详见表一）；积极争取中央财政应急物资保障体系建设资金</w:t>
      </w:r>
      <w:r>
        <w:rPr>
          <w:rFonts w:ascii="Times New Roman" w:hAnsi="Times New Roman" w:eastAsia="仿宋_GB2312"/>
          <w:sz w:val="32"/>
          <w:szCs w:val="32"/>
        </w:rPr>
        <w:t>5959</w:t>
      </w:r>
      <w:r>
        <w:rPr>
          <w:rFonts w:hint="eastAsia" w:ascii="Times New Roman" w:hAnsi="Times New Roman" w:eastAsia="仿宋_GB2312"/>
          <w:sz w:val="32"/>
          <w:szCs w:val="32"/>
        </w:rPr>
        <w:t>万元，全力保障我市抗击新冠肺炎疫情。</w:t>
      </w:r>
    </w:p>
    <w:tbl>
      <w:tblPr>
        <w:tblStyle w:val="8"/>
        <w:tblW w:w="8680" w:type="dxa"/>
        <w:jc w:val="center"/>
        <w:tblLayout w:type="autofit"/>
        <w:tblCellMar>
          <w:top w:w="0" w:type="dxa"/>
          <w:left w:w="108" w:type="dxa"/>
          <w:bottom w:w="0" w:type="dxa"/>
          <w:right w:w="108" w:type="dxa"/>
        </w:tblCellMar>
      </w:tblPr>
      <w:tblGrid>
        <w:gridCol w:w="1144"/>
        <w:gridCol w:w="3359"/>
        <w:gridCol w:w="4177"/>
      </w:tblGrid>
      <w:tr w14:paraId="0627CFFD">
        <w:trPr>
          <w:trHeight w:val="930" w:hRule="atLeast"/>
          <w:jc w:val="center"/>
        </w:trPr>
        <w:tc>
          <w:tcPr>
            <w:tcW w:w="8680" w:type="dxa"/>
            <w:gridSpan w:val="3"/>
            <w:tcBorders>
              <w:top w:val="nil"/>
              <w:left w:val="nil"/>
              <w:bottom w:val="single" w:color="auto" w:sz="4" w:space="0"/>
              <w:right w:val="nil"/>
            </w:tcBorders>
            <w:noWrap/>
            <w:vAlign w:val="center"/>
          </w:tcPr>
          <w:p w14:paraId="392D79A6">
            <w:pPr>
              <w:widowControl/>
              <w:overflowPunct w:val="0"/>
              <w:autoSpaceDE w:val="0"/>
              <w:autoSpaceDN w:val="0"/>
              <w:spacing w:line="576" w:lineRule="exact"/>
              <w:jc w:val="center"/>
              <w:rPr>
                <w:rFonts w:ascii="Times New Roman" w:hAnsi="Times New Roman" w:eastAsia="黑体"/>
                <w:bCs/>
                <w:color w:val="000000"/>
                <w:kern w:val="0"/>
                <w:sz w:val="28"/>
                <w:szCs w:val="28"/>
              </w:rPr>
            </w:pPr>
            <w:r>
              <w:rPr>
                <w:rFonts w:hint="eastAsia" w:ascii="Times New Roman" w:hAnsi="黑体" w:eastAsia="黑体"/>
                <w:bCs/>
                <w:color w:val="000000"/>
                <w:kern w:val="0"/>
                <w:sz w:val="28"/>
                <w:szCs w:val="28"/>
              </w:rPr>
              <w:t>阜新市</w:t>
            </w:r>
            <w:r>
              <w:rPr>
                <w:rFonts w:ascii="Times New Roman" w:hAnsi="Times New Roman" w:eastAsia="黑体"/>
                <w:bCs/>
                <w:color w:val="000000"/>
                <w:kern w:val="0"/>
                <w:sz w:val="28"/>
                <w:szCs w:val="28"/>
              </w:rPr>
              <w:t>“</w:t>
            </w:r>
            <w:r>
              <w:rPr>
                <w:rFonts w:hint="eastAsia" w:ascii="Times New Roman" w:hAnsi="黑体" w:eastAsia="黑体"/>
                <w:bCs/>
                <w:color w:val="000000"/>
                <w:kern w:val="0"/>
                <w:sz w:val="28"/>
                <w:szCs w:val="28"/>
              </w:rPr>
              <w:t>十三五</w:t>
            </w:r>
            <w:r>
              <w:rPr>
                <w:rFonts w:ascii="Times New Roman" w:hAnsi="Times New Roman" w:eastAsia="黑体"/>
                <w:bCs/>
                <w:color w:val="000000"/>
                <w:kern w:val="0"/>
                <w:sz w:val="28"/>
                <w:szCs w:val="28"/>
              </w:rPr>
              <w:t>”</w:t>
            </w:r>
            <w:r>
              <w:rPr>
                <w:rFonts w:hint="eastAsia" w:ascii="Times New Roman" w:hAnsi="黑体" w:eastAsia="黑体"/>
                <w:bCs/>
                <w:color w:val="000000"/>
                <w:kern w:val="0"/>
                <w:sz w:val="28"/>
                <w:szCs w:val="28"/>
              </w:rPr>
              <w:t>期间冬春救助资金统计表（表一）</w:t>
            </w:r>
          </w:p>
        </w:tc>
      </w:tr>
      <w:tr w14:paraId="67FA522E">
        <w:tblPrEx>
          <w:tblCellMar>
            <w:top w:w="0" w:type="dxa"/>
            <w:left w:w="108" w:type="dxa"/>
            <w:bottom w:w="0" w:type="dxa"/>
            <w:right w:w="108" w:type="dxa"/>
          </w:tblCellMar>
        </w:tblPrEx>
        <w:trPr>
          <w:trHeight w:val="677" w:hRule="atLeast"/>
          <w:jc w:val="center"/>
        </w:trPr>
        <w:tc>
          <w:tcPr>
            <w:tcW w:w="1144" w:type="dxa"/>
            <w:tcBorders>
              <w:top w:val="nil"/>
              <w:left w:val="single" w:color="auto" w:sz="4" w:space="0"/>
              <w:bottom w:val="single" w:color="auto" w:sz="4" w:space="0"/>
              <w:right w:val="single" w:color="auto" w:sz="4" w:space="0"/>
            </w:tcBorders>
            <w:noWrap/>
            <w:vAlign w:val="center"/>
          </w:tcPr>
          <w:p w14:paraId="4F2BA4E1">
            <w:pPr>
              <w:widowControl/>
              <w:overflowPunct w:val="0"/>
              <w:autoSpaceDE w:val="0"/>
              <w:autoSpaceDN w:val="0"/>
              <w:spacing w:line="576" w:lineRule="exact"/>
              <w:jc w:val="center"/>
              <w:rPr>
                <w:rFonts w:ascii="Times New Roman" w:hAnsi="Times New Roman" w:eastAsia="宋体"/>
                <w:bCs/>
                <w:color w:val="000000"/>
                <w:kern w:val="0"/>
                <w:sz w:val="24"/>
                <w:szCs w:val="24"/>
              </w:rPr>
            </w:pPr>
            <w:r>
              <w:rPr>
                <w:rFonts w:hint="eastAsia" w:ascii="Times New Roman" w:hAnsi="宋体" w:eastAsia="宋体"/>
                <w:bCs/>
                <w:color w:val="000000"/>
                <w:kern w:val="0"/>
                <w:sz w:val="24"/>
                <w:szCs w:val="24"/>
              </w:rPr>
              <w:t>年度</w:t>
            </w:r>
          </w:p>
        </w:tc>
        <w:tc>
          <w:tcPr>
            <w:tcW w:w="3359" w:type="dxa"/>
            <w:tcBorders>
              <w:top w:val="nil"/>
              <w:left w:val="nil"/>
              <w:bottom w:val="single" w:color="auto" w:sz="4" w:space="0"/>
              <w:right w:val="single" w:color="auto" w:sz="4" w:space="0"/>
            </w:tcBorders>
            <w:vAlign w:val="center"/>
          </w:tcPr>
          <w:p w14:paraId="3ADE68E5">
            <w:pPr>
              <w:widowControl/>
              <w:overflowPunct w:val="0"/>
              <w:autoSpaceDE w:val="0"/>
              <w:autoSpaceDN w:val="0"/>
              <w:spacing w:line="576" w:lineRule="exact"/>
              <w:jc w:val="center"/>
              <w:rPr>
                <w:rFonts w:ascii="Times New Roman" w:hAnsi="Times New Roman" w:eastAsia="宋体"/>
                <w:bCs/>
                <w:color w:val="000000"/>
                <w:kern w:val="0"/>
                <w:sz w:val="24"/>
                <w:szCs w:val="24"/>
              </w:rPr>
            </w:pPr>
            <w:r>
              <w:rPr>
                <w:rFonts w:hint="eastAsia" w:ascii="Times New Roman" w:hAnsi="宋体" w:eastAsia="宋体"/>
                <w:bCs/>
                <w:color w:val="000000"/>
                <w:kern w:val="0"/>
                <w:sz w:val="24"/>
                <w:szCs w:val="24"/>
              </w:rPr>
              <w:t>下拨资金（万元）</w:t>
            </w:r>
          </w:p>
        </w:tc>
        <w:tc>
          <w:tcPr>
            <w:tcW w:w="4177" w:type="dxa"/>
            <w:tcBorders>
              <w:top w:val="nil"/>
              <w:left w:val="nil"/>
              <w:bottom w:val="single" w:color="auto" w:sz="4" w:space="0"/>
              <w:right w:val="single" w:color="auto" w:sz="4" w:space="0"/>
            </w:tcBorders>
            <w:vAlign w:val="center"/>
          </w:tcPr>
          <w:p w14:paraId="4AAC4DE3">
            <w:pPr>
              <w:widowControl/>
              <w:overflowPunct w:val="0"/>
              <w:autoSpaceDE w:val="0"/>
              <w:autoSpaceDN w:val="0"/>
              <w:spacing w:line="576" w:lineRule="exact"/>
              <w:jc w:val="center"/>
              <w:rPr>
                <w:rFonts w:ascii="Times New Roman" w:hAnsi="Times New Roman" w:eastAsia="宋体"/>
                <w:bCs/>
                <w:color w:val="000000"/>
                <w:kern w:val="0"/>
                <w:sz w:val="24"/>
                <w:szCs w:val="24"/>
              </w:rPr>
            </w:pPr>
            <w:r>
              <w:rPr>
                <w:rFonts w:hint="eastAsia" w:ascii="Times New Roman" w:hAnsi="宋体" w:eastAsia="宋体"/>
                <w:bCs/>
                <w:color w:val="000000"/>
                <w:kern w:val="0"/>
                <w:sz w:val="24"/>
                <w:szCs w:val="24"/>
              </w:rPr>
              <w:t>救助人数（万人）</w:t>
            </w:r>
          </w:p>
        </w:tc>
      </w:tr>
      <w:tr w14:paraId="19824BA6">
        <w:tblPrEx>
          <w:tblCellMar>
            <w:top w:w="0" w:type="dxa"/>
            <w:left w:w="108" w:type="dxa"/>
            <w:bottom w:w="0" w:type="dxa"/>
            <w:right w:w="108" w:type="dxa"/>
          </w:tblCellMar>
        </w:tblPrEx>
        <w:trPr>
          <w:trHeight w:val="558" w:hRule="atLeast"/>
          <w:jc w:val="center"/>
        </w:trPr>
        <w:tc>
          <w:tcPr>
            <w:tcW w:w="1144" w:type="dxa"/>
            <w:tcBorders>
              <w:top w:val="nil"/>
              <w:left w:val="single" w:color="auto" w:sz="4" w:space="0"/>
              <w:bottom w:val="single" w:color="auto" w:sz="4" w:space="0"/>
              <w:right w:val="single" w:color="auto" w:sz="4" w:space="0"/>
            </w:tcBorders>
            <w:noWrap/>
            <w:vAlign w:val="center"/>
          </w:tcPr>
          <w:p w14:paraId="107CF390">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2016</w:t>
            </w:r>
          </w:p>
        </w:tc>
        <w:tc>
          <w:tcPr>
            <w:tcW w:w="3359" w:type="dxa"/>
            <w:tcBorders>
              <w:top w:val="nil"/>
              <w:left w:val="nil"/>
              <w:bottom w:val="single" w:color="auto" w:sz="4" w:space="0"/>
              <w:right w:val="single" w:color="auto" w:sz="4" w:space="0"/>
            </w:tcBorders>
            <w:noWrap/>
            <w:vAlign w:val="center"/>
          </w:tcPr>
          <w:p w14:paraId="1DF5B614">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360</w:t>
            </w:r>
          </w:p>
        </w:tc>
        <w:tc>
          <w:tcPr>
            <w:tcW w:w="4177" w:type="dxa"/>
            <w:tcBorders>
              <w:top w:val="nil"/>
              <w:left w:val="nil"/>
              <w:bottom w:val="single" w:color="auto" w:sz="4" w:space="0"/>
              <w:right w:val="single" w:color="auto" w:sz="4" w:space="0"/>
            </w:tcBorders>
            <w:noWrap/>
            <w:vAlign w:val="center"/>
          </w:tcPr>
          <w:p w14:paraId="4A5D528E">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2.7</w:t>
            </w:r>
          </w:p>
        </w:tc>
      </w:tr>
      <w:tr w14:paraId="6C9E28D8">
        <w:tblPrEx>
          <w:tblCellMar>
            <w:top w:w="0" w:type="dxa"/>
            <w:left w:w="108" w:type="dxa"/>
            <w:bottom w:w="0" w:type="dxa"/>
            <w:right w:w="108" w:type="dxa"/>
          </w:tblCellMar>
        </w:tblPrEx>
        <w:trPr>
          <w:trHeight w:val="539" w:hRule="atLeast"/>
          <w:jc w:val="center"/>
        </w:trPr>
        <w:tc>
          <w:tcPr>
            <w:tcW w:w="1144" w:type="dxa"/>
            <w:tcBorders>
              <w:top w:val="nil"/>
              <w:left w:val="single" w:color="auto" w:sz="4" w:space="0"/>
              <w:bottom w:val="single" w:color="auto" w:sz="4" w:space="0"/>
              <w:right w:val="single" w:color="auto" w:sz="4" w:space="0"/>
            </w:tcBorders>
            <w:noWrap/>
            <w:vAlign w:val="center"/>
          </w:tcPr>
          <w:p w14:paraId="560F7D44">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2017</w:t>
            </w:r>
          </w:p>
        </w:tc>
        <w:tc>
          <w:tcPr>
            <w:tcW w:w="3359" w:type="dxa"/>
            <w:tcBorders>
              <w:top w:val="nil"/>
              <w:left w:val="nil"/>
              <w:bottom w:val="single" w:color="auto" w:sz="4" w:space="0"/>
              <w:right w:val="single" w:color="auto" w:sz="4" w:space="0"/>
            </w:tcBorders>
            <w:noWrap/>
            <w:vAlign w:val="center"/>
          </w:tcPr>
          <w:p w14:paraId="0B6E5C8E">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1697</w:t>
            </w:r>
          </w:p>
        </w:tc>
        <w:tc>
          <w:tcPr>
            <w:tcW w:w="4177" w:type="dxa"/>
            <w:tcBorders>
              <w:top w:val="nil"/>
              <w:left w:val="nil"/>
              <w:bottom w:val="single" w:color="auto" w:sz="4" w:space="0"/>
              <w:right w:val="single" w:color="auto" w:sz="4" w:space="0"/>
            </w:tcBorders>
            <w:noWrap/>
            <w:vAlign w:val="center"/>
          </w:tcPr>
          <w:p w14:paraId="646C7FBA">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16.44</w:t>
            </w:r>
          </w:p>
        </w:tc>
      </w:tr>
      <w:tr w14:paraId="6152230F">
        <w:tblPrEx>
          <w:tblCellMar>
            <w:top w:w="0" w:type="dxa"/>
            <w:left w:w="108" w:type="dxa"/>
            <w:bottom w:w="0" w:type="dxa"/>
            <w:right w:w="108" w:type="dxa"/>
          </w:tblCellMar>
        </w:tblPrEx>
        <w:trPr>
          <w:trHeight w:val="519" w:hRule="atLeast"/>
          <w:jc w:val="center"/>
        </w:trPr>
        <w:tc>
          <w:tcPr>
            <w:tcW w:w="1144" w:type="dxa"/>
            <w:tcBorders>
              <w:top w:val="nil"/>
              <w:left w:val="single" w:color="auto" w:sz="4" w:space="0"/>
              <w:bottom w:val="single" w:color="auto" w:sz="4" w:space="0"/>
              <w:right w:val="single" w:color="auto" w:sz="4" w:space="0"/>
            </w:tcBorders>
            <w:noWrap/>
            <w:vAlign w:val="center"/>
          </w:tcPr>
          <w:p w14:paraId="3147D150">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2018</w:t>
            </w:r>
          </w:p>
        </w:tc>
        <w:tc>
          <w:tcPr>
            <w:tcW w:w="3359" w:type="dxa"/>
            <w:tcBorders>
              <w:top w:val="nil"/>
              <w:left w:val="nil"/>
              <w:bottom w:val="single" w:color="auto" w:sz="4" w:space="0"/>
              <w:right w:val="single" w:color="auto" w:sz="4" w:space="0"/>
            </w:tcBorders>
            <w:noWrap/>
            <w:vAlign w:val="center"/>
          </w:tcPr>
          <w:p w14:paraId="2BE38FBA">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1452</w:t>
            </w:r>
          </w:p>
        </w:tc>
        <w:tc>
          <w:tcPr>
            <w:tcW w:w="4177" w:type="dxa"/>
            <w:tcBorders>
              <w:top w:val="nil"/>
              <w:left w:val="nil"/>
              <w:bottom w:val="single" w:color="auto" w:sz="4" w:space="0"/>
              <w:right w:val="single" w:color="auto" w:sz="4" w:space="0"/>
            </w:tcBorders>
            <w:noWrap/>
            <w:vAlign w:val="center"/>
          </w:tcPr>
          <w:p w14:paraId="3401B703">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12.8</w:t>
            </w:r>
          </w:p>
        </w:tc>
      </w:tr>
      <w:tr w14:paraId="56E2A2D7">
        <w:tblPrEx>
          <w:tblCellMar>
            <w:top w:w="0" w:type="dxa"/>
            <w:left w:w="108" w:type="dxa"/>
            <w:bottom w:w="0" w:type="dxa"/>
            <w:right w:w="108" w:type="dxa"/>
          </w:tblCellMar>
        </w:tblPrEx>
        <w:trPr>
          <w:trHeight w:val="499" w:hRule="atLeast"/>
          <w:jc w:val="center"/>
        </w:trPr>
        <w:tc>
          <w:tcPr>
            <w:tcW w:w="1144" w:type="dxa"/>
            <w:tcBorders>
              <w:top w:val="nil"/>
              <w:left w:val="single" w:color="auto" w:sz="4" w:space="0"/>
              <w:bottom w:val="single" w:color="auto" w:sz="4" w:space="0"/>
              <w:right w:val="single" w:color="auto" w:sz="4" w:space="0"/>
            </w:tcBorders>
            <w:noWrap/>
            <w:vAlign w:val="center"/>
          </w:tcPr>
          <w:p w14:paraId="6454CE35">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2019</w:t>
            </w:r>
          </w:p>
        </w:tc>
        <w:tc>
          <w:tcPr>
            <w:tcW w:w="3359" w:type="dxa"/>
            <w:tcBorders>
              <w:top w:val="nil"/>
              <w:left w:val="nil"/>
              <w:bottom w:val="single" w:color="auto" w:sz="4" w:space="0"/>
              <w:right w:val="single" w:color="auto" w:sz="4" w:space="0"/>
            </w:tcBorders>
            <w:noWrap/>
            <w:vAlign w:val="center"/>
          </w:tcPr>
          <w:p w14:paraId="13AC28DE">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1418.7</w:t>
            </w:r>
          </w:p>
        </w:tc>
        <w:tc>
          <w:tcPr>
            <w:tcW w:w="4177" w:type="dxa"/>
            <w:tcBorders>
              <w:top w:val="nil"/>
              <w:left w:val="nil"/>
              <w:bottom w:val="single" w:color="auto" w:sz="4" w:space="0"/>
              <w:right w:val="single" w:color="auto" w:sz="4" w:space="0"/>
            </w:tcBorders>
            <w:noWrap/>
            <w:vAlign w:val="center"/>
          </w:tcPr>
          <w:p w14:paraId="5C645795">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12.3</w:t>
            </w:r>
          </w:p>
        </w:tc>
      </w:tr>
      <w:tr w14:paraId="4D02EFE0">
        <w:tblPrEx>
          <w:tblCellMar>
            <w:top w:w="0" w:type="dxa"/>
            <w:left w:w="108" w:type="dxa"/>
            <w:bottom w:w="0" w:type="dxa"/>
            <w:right w:w="108" w:type="dxa"/>
          </w:tblCellMar>
        </w:tblPrEx>
        <w:trPr>
          <w:trHeight w:val="493" w:hRule="atLeast"/>
          <w:jc w:val="center"/>
        </w:trPr>
        <w:tc>
          <w:tcPr>
            <w:tcW w:w="1144" w:type="dxa"/>
            <w:tcBorders>
              <w:top w:val="nil"/>
              <w:left w:val="single" w:color="auto" w:sz="4" w:space="0"/>
              <w:bottom w:val="single" w:color="auto" w:sz="4" w:space="0"/>
              <w:right w:val="single" w:color="auto" w:sz="4" w:space="0"/>
            </w:tcBorders>
            <w:noWrap/>
            <w:vAlign w:val="center"/>
          </w:tcPr>
          <w:p w14:paraId="2AAF81EA">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2020</w:t>
            </w:r>
          </w:p>
        </w:tc>
        <w:tc>
          <w:tcPr>
            <w:tcW w:w="3359" w:type="dxa"/>
            <w:tcBorders>
              <w:top w:val="nil"/>
              <w:left w:val="nil"/>
              <w:bottom w:val="single" w:color="auto" w:sz="4" w:space="0"/>
              <w:right w:val="single" w:color="auto" w:sz="4" w:space="0"/>
            </w:tcBorders>
            <w:noWrap/>
            <w:vAlign w:val="center"/>
          </w:tcPr>
          <w:p w14:paraId="04FC3E86">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hint="eastAsia" w:ascii="仿宋_GB2312" w:hAnsi="Times New Roman" w:eastAsia="仿宋_GB2312"/>
                <w:color w:val="000000"/>
                <w:kern w:val="0"/>
                <w:sz w:val="24"/>
                <w:szCs w:val="24"/>
              </w:rPr>
              <w:t>　</w:t>
            </w:r>
          </w:p>
        </w:tc>
        <w:tc>
          <w:tcPr>
            <w:tcW w:w="4177" w:type="dxa"/>
            <w:tcBorders>
              <w:top w:val="nil"/>
              <w:left w:val="nil"/>
              <w:bottom w:val="single" w:color="auto" w:sz="4" w:space="0"/>
              <w:right w:val="single" w:color="auto" w:sz="4" w:space="0"/>
            </w:tcBorders>
            <w:noWrap/>
            <w:vAlign w:val="center"/>
          </w:tcPr>
          <w:p w14:paraId="084A608A">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hint="eastAsia" w:ascii="仿宋_GB2312" w:hAnsi="Times New Roman" w:eastAsia="仿宋_GB2312"/>
                <w:color w:val="000000"/>
                <w:kern w:val="0"/>
                <w:sz w:val="24"/>
                <w:szCs w:val="24"/>
              </w:rPr>
              <w:t>　</w:t>
            </w:r>
          </w:p>
        </w:tc>
      </w:tr>
      <w:tr w14:paraId="1392AB56">
        <w:tblPrEx>
          <w:tblCellMar>
            <w:top w:w="0" w:type="dxa"/>
            <w:left w:w="108" w:type="dxa"/>
            <w:bottom w:w="0" w:type="dxa"/>
            <w:right w:w="108" w:type="dxa"/>
          </w:tblCellMar>
        </w:tblPrEx>
        <w:trPr>
          <w:trHeight w:val="601" w:hRule="atLeast"/>
          <w:jc w:val="center"/>
        </w:trPr>
        <w:tc>
          <w:tcPr>
            <w:tcW w:w="1144" w:type="dxa"/>
            <w:tcBorders>
              <w:top w:val="nil"/>
              <w:left w:val="single" w:color="auto" w:sz="4" w:space="0"/>
              <w:bottom w:val="single" w:color="auto" w:sz="4" w:space="0"/>
              <w:right w:val="single" w:color="auto" w:sz="4" w:space="0"/>
            </w:tcBorders>
            <w:noWrap/>
            <w:vAlign w:val="center"/>
          </w:tcPr>
          <w:p w14:paraId="753318CA">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hint="eastAsia" w:ascii="仿宋_GB2312" w:hAnsi="Times New Roman" w:eastAsia="仿宋_GB2312"/>
                <w:color w:val="000000"/>
                <w:kern w:val="0"/>
                <w:sz w:val="24"/>
                <w:szCs w:val="24"/>
              </w:rPr>
              <w:t>合计</w:t>
            </w:r>
          </w:p>
        </w:tc>
        <w:tc>
          <w:tcPr>
            <w:tcW w:w="3359" w:type="dxa"/>
            <w:tcBorders>
              <w:top w:val="nil"/>
              <w:left w:val="nil"/>
              <w:bottom w:val="single" w:color="auto" w:sz="4" w:space="0"/>
              <w:right w:val="single" w:color="auto" w:sz="4" w:space="0"/>
            </w:tcBorders>
            <w:noWrap/>
            <w:vAlign w:val="center"/>
          </w:tcPr>
          <w:p w14:paraId="0768BBED">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4927.7</w:t>
            </w:r>
          </w:p>
        </w:tc>
        <w:tc>
          <w:tcPr>
            <w:tcW w:w="4177" w:type="dxa"/>
            <w:tcBorders>
              <w:top w:val="nil"/>
              <w:left w:val="nil"/>
              <w:bottom w:val="single" w:color="auto" w:sz="4" w:space="0"/>
              <w:right w:val="single" w:color="auto" w:sz="4" w:space="0"/>
            </w:tcBorders>
            <w:noWrap/>
            <w:vAlign w:val="center"/>
          </w:tcPr>
          <w:p w14:paraId="6635B35A">
            <w:pPr>
              <w:widowControl/>
              <w:overflowPunct w:val="0"/>
              <w:autoSpaceDE w:val="0"/>
              <w:autoSpaceDN w:val="0"/>
              <w:spacing w:line="576" w:lineRule="exact"/>
              <w:jc w:val="center"/>
              <w:rPr>
                <w:rFonts w:ascii="仿宋_GB2312" w:hAnsi="Times New Roman" w:eastAsia="仿宋_GB2312"/>
                <w:color w:val="000000"/>
                <w:kern w:val="0"/>
                <w:sz w:val="24"/>
                <w:szCs w:val="24"/>
              </w:rPr>
            </w:pPr>
            <w:r>
              <w:rPr>
                <w:rFonts w:ascii="仿宋_GB2312" w:hAnsi="Times New Roman" w:eastAsia="仿宋_GB2312"/>
                <w:color w:val="000000"/>
                <w:kern w:val="0"/>
                <w:sz w:val="24"/>
                <w:szCs w:val="24"/>
              </w:rPr>
              <w:t>44.24</w:t>
            </w:r>
          </w:p>
        </w:tc>
      </w:tr>
    </w:tbl>
    <w:p w14:paraId="7008BE20">
      <w:pPr>
        <w:shd w:val="clear" w:color="auto" w:fill="FFFFFF"/>
        <w:overflowPunct w:val="0"/>
        <w:autoSpaceDE w:val="0"/>
        <w:autoSpaceDN w:val="0"/>
        <w:snapToGrid w:val="0"/>
        <w:spacing w:line="576"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防震救灾工作初见成效。全市</w:t>
      </w:r>
      <w:r>
        <w:rPr>
          <w:rFonts w:hint="eastAsia" w:ascii="Times New Roman" w:hAnsi="Times New Roman" w:eastAsia="仿宋_GB2312"/>
          <w:color w:val="333333"/>
          <w:sz w:val="32"/>
          <w:szCs w:val="32"/>
          <w:shd w:val="clear" w:color="auto" w:fill="FFFFFF"/>
        </w:rPr>
        <w:t>共设立</w:t>
      </w:r>
      <w:r>
        <w:rPr>
          <w:rFonts w:hint="eastAsia" w:ascii="Times New Roman" w:hAnsi="仿宋_GB2312" w:eastAsia="仿宋_GB2312"/>
          <w:color w:val="000000"/>
          <w:sz w:val="32"/>
          <w:szCs w:val="32"/>
        </w:rPr>
        <w:t>地震应急避难场所</w:t>
      </w:r>
      <w:r>
        <w:rPr>
          <w:rFonts w:ascii="Times New Roman" w:hAnsi="Times New Roman" w:eastAsia="仿宋_GB2312"/>
          <w:color w:val="000000"/>
          <w:sz w:val="32"/>
          <w:szCs w:val="32"/>
        </w:rPr>
        <w:t>24</w:t>
      </w:r>
      <w:r>
        <w:rPr>
          <w:rFonts w:hint="eastAsia" w:ascii="Times New Roman" w:hAnsi="仿宋_GB2312" w:eastAsia="仿宋_GB2312"/>
          <w:color w:val="000000"/>
          <w:sz w:val="32"/>
          <w:szCs w:val="32"/>
        </w:rPr>
        <w:t>个，市级</w:t>
      </w:r>
      <w:r>
        <w:rPr>
          <w:rFonts w:ascii="Times New Roman" w:hAnsi="Times New Roman" w:eastAsia="仿宋_GB2312"/>
          <w:color w:val="000000"/>
          <w:sz w:val="32"/>
          <w:szCs w:val="32"/>
        </w:rPr>
        <w:t>2</w:t>
      </w:r>
      <w:r>
        <w:rPr>
          <w:rFonts w:hint="eastAsia" w:ascii="Times New Roman" w:hAnsi="仿宋_GB2312" w:eastAsia="仿宋_GB2312"/>
          <w:color w:val="000000"/>
          <w:sz w:val="32"/>
          <w:szCs w:val="32"/>
        </w:rPr>
        <w:t>个，县区级</w:t>
      </w:r>
      <w:r>
        <w:rPr>
          <w:rFonts w:ascii="Times New Roman" w:hAnsi="Times New Roman" w:eastAsia="仿宋_GB2312"/>
          <w:color w:val="000000"/>
          <w:sz w:val="32"/>
          <w:szCs w:val="32"/>
        </w:rPr>
        <w:t>22</w:t>
      </w:r>
      <w:r>
        <w:rPr>
          <w:rFonts w:hint="eastAsia" w:ascii="Times New Roman" w:hAnsi="仿宋_GB2312" w:eastAsia="仿宋_GB2312"/>
          <w:color w:val="000000"/>
          <w:sz w:val="32"/>
          <w:szCs w:val="32"/>
        </w:rPr>
        <w:t>个。极端气象灾害应急避难场所</w:t>
      </w:r>
      <w:r>
        <w:rPr>
          <w:rFonts w:ascii="Times New Roman" w:hAnsi="Times New Roman" w:eastAsia="仿宋_GB2312"/>
          <w:color w:val="000000"/>
          <w:sz w:val="32"/>
          <w:szCs w:val="32"/>
        </w:rPr>
        <w:t>356</w:t>
      </w:r>
      <w:r>
        <w:rPr>
          <w:rFonts w:hint="eastAsia" w:ascii="Times New Roman" w:hAnsi="仿宋_GB2312" w:eastAsia="仿宋_GB2312"/>
          <w:color w:val="000000"/>
          <w:sz w:val="32"/>
          <w:szCs w:val="32"/>
        </w:rPr>
        <w:t>个</w:t>
      </w:r>
      <w:r>
        <w:rPr>
          <w:rFonts w:hint="eastAsia" w:ascii="Times New Roman" w:hAnsi="Times New Roman" w:eastAsia="仿宋_GB2312"/>
          <w:color w:val="333333"/>
          <w:sz w:val="32"/>
          <w:szCs w:val="32"/>
          <w:shd w:val="clear" w:color="auto" w:fill="FFFFFF"/>
        </w:rPr>
        <w:t>，占地面积</w:t>
      </w:r>
      <w:r>
        <w:rPr>
          <w:rFonts w:ascii="Times New Roman" w:hAnsi="Times New Roman" w:eastAsia="仿宋_GB2312"/>
          <w:color w:val="333333"/>
          <w:sz w:val="32"/>
          <w:szCs w:val="32"/>
          <w:shd w:val="clear" w:color="auto" w:fill="FFFFFF"/>
        </w:rPr>
        <w:t>328</w:t>
      </w:r>
      <w:r>
        <w:rPr>
          <w:rFonts w:hint="eastAsia" w:ascii="Times New Roman" w:hAnsi="Times New Roman" w:eastAsia="仿宋_GB2312"/>
          <w:color w:val="333333"/>
          <w:sz w:val="32"/>
          <w:szCs w:val="32"/>
          <w:shd w:val="clear" w:color="auto" w:fill="FFFFFF"/>
        </w:rPr>
        <w:t>公顷，可容纳避难人员</w:t>
      </w:r>
      <w:r>
        <w:rPr>
          <w:rFonts w:ascii="Times New Roman" w:hAnsi="Times New Roman" w:eastAsia="仿宋_GB2312"/>
          <w:color w:val="333333"/>
          <w:sz w:val="32"/>
          <w:szCs w:val="32"/>
          <w:shd w:val="clear" w:color="auto" w:fill="FFFFFF"/>
        </w:rPr>
        <w:t>65</w:t>
      </w:r>
      <w:r>
        <w:rPr>
          <w:rFonts w:hint="eastAsia" w:ascii="Times New Roman" w:hAnsi="Times New Roman" w:eastAsia="仿宋_GB2312"/>
          <w:color w:val="333333"/>
          <w:sz w:val="32"/>
          <w:szCs w:val="32"/>
          <w:shd w:val="clear" w:color="auto" w:fill="FFFFFF"/>
        </w:rPr>
        <w:t>万人。</w:t>
      </w:r>
      <w:r>
        <w:rPr>
          <w:rFonts w:hint="eastAsia" w:ascii="Times New Roman" w:hAnsi="Times New Roman" w:eastAsia="仿宋_GB2312"/>
          <w:sz w:val="32"/>
          <w:szCs w:val="32"/>
        </w:rPr>
        <w:t>全市救灾物资储备网络建设基本完成，</w:t>
      </w:r>
      <w:r>
        <w:rPr>
          <w:rFonts w:hint="eastAsia" w:ascii="Times New Roman" w:hAnsi="仿宋_GB2312" w:eastAsia="仿宋_GB2312"/>
          <w:sz w:val="32"/>
          <w:szCs w:val="32"/>
        </w:rPr>
        <w:t>重点建设完善了市级应急救灾物资储备库、阜蒙县应急救灾物资储备库、彰武县应急救灾物资储备库，形成了覆盖各类突发事件的应急物资保障和储备体系。为夯实基层减灾工作，发挥先进典型示范引领作用，</w:t>
      </w:r>
      <w:r>
        <w:rPr>
          <w:rFonts w:ascii="Times New Roman" w:hAnsi="Times New Roman" w:eastAsia="仿宋_GB2312"/>
          <w:sz w:val="32"/>
          <w:szCs w:val="32"/>
        </w:rPr>
        <w:t>“</w:t>
      </w:r>
      <w:r>
        <w:rPr>
          <w:rFonts w:hint="eastAsia" w:ascii="Times New Roman" w:hAnsi="仿宋_GB2312" w:eastAsia="仿宋_GB2312"/>
          <w:sz w:val="32"/>
          <w:szCs w:val="32"/>
        </w:rPr>
        <w:t>十三五</w:t>
      </w:r>
      <w:r>
        <w:rPr>
          <w:rFonts w:ascii="Times New Roman" w:hAnsi="Times New Roman" w:eastAsia="仿宋_GB2312"/>
          <w:sz w:val="32"/>
          <w:szCs w:val="32"/>
        </w:rPr>
        <w:t>”</w:t>
      </w:r>
      <w:r>
        <w:rPr>
          <w:rFonts w:hint="eastAsia" w:ascii="Times New Roman" w:hAnsi="仿宋_GB2312" w:eastAsia="仿宋_GB2312"/>
          <w:sz w:val="32"/>
          <w:szCs w:val="32"/>
        </w:rPr>
        <w:t>期间，全市共</w:t>
      </w:r>
      <w:r>
        <w:rPr>
          <w:rFonts w:hint="eastAsia" w:ascii="Times New Roman" w:hAnsi="Times New Roman" w:eastAsia="仿宋_GB2312"/>
          <w:sz w:val="32"/>
          <w:szCs w:val="32"/>
        </w:rPr>
        <w:t>创建全国综合减灾示范社区</w:t>
      </w:r>
      <w:r>
        <w:rPr>
          <w:rFonts w:ascii="Times New Roman" w:hAnsi="Times New Roman" w:eastAsia="仿宋_GB2312"/>
          <w:sz w:val="32"/>
          <w:szCs w:val="32"/>
        </w:rPr>
        <w:t>10</w:t>
      </w:r>
      <w:r>
        <w:rPr>
          <w:rFonts w:hint="eastAsia" w:ascii="Times New Roman" w:hAnsi="Times New Roman" w:eastAsia="仿宋_GB2312"/>
          <w:sz w:val="32"/>
          <w:szCs w:val="32"/>
        </w:rPr>
        <w:t>个，省级综合减灾示范社区</w:t>
      </w:r>
      <w:r>
        <w:rPr>
          <w:rFonts w:ascii="Times New Roman" w:hAnsi="Times New Roman" w:eastAsia="仿宋_GB2312"/>
          <w:sz w:val="32"/>
          <w:szCs w:val="32"/>
        </w:rPr>
        <w:t>12</w:t>
      </w:r>
      <w:r>
        <w:rPr>
          <w:rFonts w:hint="eastAsia" w:ascii="Times New Roman" w:hAnsi="Times New Roman" w:eastAsia="仿宋_GB2312"/>
          <w:sz w:val="32"/>
          <w:szCs w:val="32"/>
        </w:rPr>
        <w:t>个（详见表二</w:t>
      </w:r>
      <w:r>
        <w:rPr>
          <w:rFonts w:hint="eastAsia" w:ascii="Times New Roman" w:hAnsi="仿宋_GB2312" w:eastAsia="仿宋_GB2312"/>
          <w:sz w:val="32"/>
          <w:szCs w:val="32"/>
        </w:rPr>
        <w:t>）。</w:t>
      </w:r>
    </w:p>
    <w:tbl>
      <w:tblPr>
        <w:tblStyle w:val="8"/>
        <w:tblW w:w="0" w:type="auto"/>
        <w:jc w:val="center"/>
        <w:tblLayout w:type="fixed"/>
        <w:tblCellMar>
          <w:top w:w="0" w:type="dxa"/>
          <w:left w:w="108" w:type="dxa"/>
          <w:bottom w:w="0" w:type="dxa"/>
          <w:right w:w="108" w:type="dxa"/>
        </w:tblCellMar>
      </w:tblPr>
      <w:tblGrid>
        <w:gridCol w:w="746"/>
        <w:gridCol w:w="709"/>
        <w:gridCol w:w="1163"/>
        <w:gridCol w:w="3060"/>
        <w:gridCol w:w="3240"/>
      </w:tblGrid>
      <w:tr w14:paraId="56125DD1">
        <w:tblPrEx>
          <w:tblCellMar>
            <w:top w:w="0" w:type="dxa"/>
            <w:left w:w="108" w:type="dxa"/>
            <w:bottom w:w="0" w:type="dxa"/>
            <w:right w:w="108" w:type="dxa"/>
          </w:tblCellMar>
        </w:tblPrEx>
        <w:trPr>
          <w:trHeight w:val="930" w:hRule="atLeast"/>
          <w:jc w:val="center"/>
        </w:trPr>
        <w:tc>
          <w:tcPr>
            <w:tcW w:w="8918" w:type="dxa"/>
            <w:gridSpan w:val="5"/>
            <w:tcBorders>
              <w:top w:val="nil"/>
              <w:left w:val="nil"/>
              <w:bottom w:val="nil"/>
              <w:right w:val="nil"/>
            </w:tcBorders>
            <w:noWrap/>
            <w:vAlign w:val="center"/>
          </w:tcPr>
          <w:p w14:paraId="796EC3B9">
            <w:pPr>
              <w:widowControl/>
              <w:overflowPunct w:val="0"/>
              <w:autoSpaceDE w:val="0"/>
              <w:autoSpaceDN w:val="0"/>
              <w:spacing w:line="576" w:lineRule="exact"/>
              <w:jc w:val="center"/>
              <w:rPr>
                <w:rFonts w:ascii="Times New Roman" w:hAnsi="Times New Roman" w:eastAsia="黑体"/>
                <w:color w:val="000000"/>
                <w:kern w:val="0"/>
                <w:sz w:val="28"/>
                <w:szCs w:val="28"/>
              </w:rPr>
            </w:pPr>
            <w:r>
              <w:rPr>
                <w:rFonts w:hint="eastAsia" w:ascii="Times New Roman" w:hAnsi="黑体" w:eastAsia="黑体"/>
                <w:color w:val="000000"/>
                <w:kern w:val="0"/>
                <w:sz w:val="28"/>
                <w:szCs w:val="28"/>
              </w:rPr>
              <w:t>阜新市</w:t>
            </w:r>
            <w:r>
              <w:rPr>
                <w:rFonts w:ascii="Times New Roman" w:hAnsi="Times New Roman" w:eastAsia="黑体"/>
                <w:color w:val="000000"/>
                <w:kern w:val="0"/>
                <w:sz w:val="28"/>
                <w:szCs w:val="28"/>
              </w:rPr>
              <w:t>“</w:t>
            </w:r>
            <w:r>
              <w:rPr>
                <w:rFonts w:hint="eastAsia" w:ascii="Times New Roman" w:hAnsi="黑体" w:eastAsia="黑体"/>
                <w:color w:val="000000"/>
                <w:kern w:val="0"/>
                <w:sz w:val="28"/>
                <w:szCs w:val="28"/>
              </w:rPr>
              <w:t>十三五</w:t>
            </w:r>
            <w:r>
              <w:rPr>
                <w:rFonts w:ascii="Times New Roman" w:hAnsi="Times New Roman" w:eastAsia="黑体"/>
                <w:color w:val="000000"/>
                <w:kern w:val="0"/>
                <w:sz w:val="28"/>
                <w:szCs w:val="28"/>
              </w:rPr>
              <w:t>”</w:t>
            </w:r>
            <w:r>
              <w:rPr>
                <w:rFonts w:hint="eastAsia" w:ascii="Times New Roman" w:hAnsi="黑体" w:eastAsia="黑体"/>
                <w:color w:val="000000"/>
                <w:kern w:val="0"/>
                <w:sz w:val="28"/>
                <w:szCs w:val="28"/>
              </w:rPr>
              <w:t>期间创建综合减灾示范社区统计表（表二）</w:t>
            </w:r>
          </w:p>
        </w:tc>
      </w:tr>
      <w:tr w14:paraId="7FFEE7CA">
        <w:tblPrEx>
          <w:tblCellMar>
            <w:top w:w="0" w:type="dxa"/>
            <w:left w:w="108" w:type="dxa"/>
            <w:bottom w:w="0" w:type="dxa"/>
            <w:right w:w="108" w:type="dxa"/>
          </w:tblCellMar>
        </w:tblPrEx>
        <w:trPr>
          <w:trHeight w:val="702" w:hRule="atLeast"/>
          <w:jc w:val="center"/>
        </w:trPr>
        <w:tc>
          <w:tcPr>
            <w:tcW w:w="746" w:type="dxa"/>
            <w:tcBorders>
              <w:top w:val="single" w:color="auto" w:sz="4" w:space="0"/>
              <w:left w:val="single" w:color="auto" w:sz="4" w:space="0"/>
              <w:bottom w:val="single" w:color="auto" w:sz="4" w:space="0"/>
              <w:right w:val="single" w:color="auto" w:sz="4" w:space="0"/>
            </w:tcBorders>
            <w:noWrap/>
            <w:vAlign w:val="center"/>
          </w:tcPr>
          <w:p w14:paraId="1FAF7995">
            <w:pPr>
              <w:widowControl/>
              <w:overflowPunct w:val="0"/>
              <w:autoSpaceDE w:val="0"/>
              <w:autoSpaceDN w:val="0"/>
              <w:spacing w:line="576" w:lineRule="exact"/>
              <w:jc w:val="center"/>
              <w:rPr>
                <w:rFonts w:ascii="Times New Roman" w:hAnsi="Times New Roman" w:eastAsia="宋体"/>
                <w:color w:val="000000"/>
                <w:kern w:val="0"/>
                <w:sz w:val="24"/>
                <w:szCs w:val="24"/>
              </w:rPr>
            </w:pPr>
            <w:r>
              <w:rPr>
                <w:rFonts w:hint="eastAsia" w:ascii="Times New Roman" w:hAnsi="宋体" w:eastAsia="宋体"/>
                <w:color w:val="000000"/>
                <w:kern w:val="0"/>
                <w:sz w:val="24"/>
                <w:szCs w:val="24"/>
              </w:rPr>
              <w:t>序号</w:t>
            </w:r>
          </w:p>
        </w:tc>
        <w:tc>
          <w:tcPr>
            <w:tcW w:w="709" w:type="dxa"/>
            <w:tcBorders>
              <w:top w:val="single" w:color="auto" w:sz="4" w:space="0"/>
              <w:left w:val="nil"/>
              <w:bottom w:val="single" w:color="auto" w:sz="4" w:space="0"/>
              <w:right w:val="single" w:color="auto" w:sz="4" w:space="0"/>
            </w:tcBorders>
            <w:noWrap/>
            <w:vAlign w:val="center"/>
          </w:tcPr>
          <w:p w14:paraId="74E67997">
            <w:pPr>
              <w:widowControl/>
              <w:overflowPunct w:val="0"/>
              <w:autoSpaceDE w:val="0"/>
              <w:autoSpaceDN w:val="0"/>
              <w:spacing w:line="576" w:lineRule="exact"/>
              <w:jc w:val="center"/>
              <w:rPr>
                <w:rFonts w:ascii="Times New Roman" w:hAnsi="Times New Roman" w:eastAsia="宋体"/>
                <w:color w:val="000000"/>
                <w:kern w:val="0"/>
                <w:sz w:val="24"/>
                <w:szCs w:val="24"/>
              </w:rPr>
            </w:pPr>
            <w:r>
              <w:rPr>
                <w:rFonts w:hint="eastAsia" w:ascii="Times New Roman" w:hAnsi="宋体" w:eastAsia="宋体"/>
                <w:color w:val="000000"/>
                <w:kern w:val="0"/>
                <w:sz w:val="24"/>
                <w:szCs w:val="24"/>
              </w:rPr>
              <w:t>年度</w:t>
            </w:r>
          </w:p>
        </w:tc>
        <w:tc>
          <w:tcPr>
            <w:tcW w:w="1163" w:type="dxa"/>
            <w:tcBorders>
              <w:top w:val="single" w:color="auto" w:sz="4" w:space="0"/>
              <w:left w:val="nil"/>
              <w:bottom w:val="single" w:color="auto" w:sz="4" w:space="0"/>
              <w:right w:val="single" w:color="auto" w:sz="4" w:space="0"/>
            </w:tcBorders>
            <w:noWrap/>
            <w:vAlign w:val="center"/>
          </w:tcPr>
          <w:p w14:paraId="0FF5704F">
            <w:pPr>
              <w:widowControl/>
              <w:overflowPunct w:val="0"/>
              <w:autoSpaceDE w:val="0"/>
              <w:autoSpaceDN w:val="0"/>
              <w:spacing w:line="576" w:lineRule="exact"/>
              <w:jc w:val="center"/>
              <w:rPr>
                <w:rFonts w:ascii="Times New Roman" w:hAnsi="Times New Roman" w:eastAsia="宋体"/>
                <w:color w:val="000000"/>
                <w:kern w:val="0"/>
                <w:sz w:val="24"/>
                <w:szCs w:val="24"/>
              </w:rPr>
            </w:pPr>
            <w:r>
              <w:rPr>
                <w:rFonts w:hint="eastAsia" w:ascii="Times New Roman" w:hAnsi="宋体" w:eastAsia="宋体"/>
                <w:color w:val="000000"/>
                <w:kern w:val="0"/>
                <w:sz w:val="24"/>
                <w:szCs w:val="24"/>
              </w:rPr>
              <w:t>县区</w:t>
            </w:r>
          </w:p>
        </w:tc>
        <w:tc>
          <w:tcPr>
            <w:tcW w:w="3060" w:type="dxa"/>
            <w:tcBorders>
              <w:top w:val="single" w:color="auto" w:sz="4" w:space="0"/>
              <w:left w:val="nil"/>
              <w:bottom w:val="single" w:color="auto" w:sz="4" w:space="0"/>
              <w:right w:val="single" w:color="auto" w:sz="4" w:space="0"/>
            </w:tcBorders>
            <w:vAlign w:val="center"/>
          </w:tcPr>
          <w:p w14:paraId="30E21FF1">
            <w:pPr>
              <w:widowControl/>
              <w:overflowPunct w:val="0"/>
              <w:autoSpaceDE w:val="0"/>
              <w:autoSpaceDN w:val="0"/>
              <w:spacing w:line="576" w:lineRule="exact"/>
              <w:jc w:val="center"/>
              <w:rPr>
                <w:rFonts w:ascii="Times New Roman" w:hAnsi="Times New Roman" w:eastAsia="宋体"/>
                <w:color w:val="000000"/>
                <w:kern w:val="0"/>
                <w:sz w:val="24"/>
                <w:szCs w:val="24"/>
              </w:rPr>
            </w:pPr>
            <w:r>
              <w:rPr>
                <w:rFonts w:hint="eastAsia" w:ascii="Times New Roman" w:hAnsi="宋体" w:eastAsia="宋体"/>
                <w:color w:val="000000"/>
                <w:kern w:val="0"/>
                <w:sz w:val="24"/>
                <w:szCs w:val="24"/>
              </w:rPr>
              <w:t>省级示范社区</w:t>
            </w:r>
            <w:r>
              <w:rPr>
                <w:rFonts w:ascii="Times New Roman" w:hAnsi="Times New Roman" w:eastAsia="宋体"/>
                <w:color w:val="000000"/>
                <w:kern w:val="0"/>
                <w:sz w:val="24"/>
                <w:szCs w:val="24"/>
              </w:rPr>
              <w:t xml:space="preserve"> </w:t>
            </w:r>
          </w:p>
        </w:tc>
        <w:tc>
          <w:tcPr>
            <w:tcW w:w="3240" w:type="dxa"/>
            <w:tcBorders>
              <w:top w:val="single" w:color="auto" w:sz="4" w:space="0"/>
              <w:left w:val="nil"/>
              <w:bottom w:val="single" w:color="auto" w:sz="4" w:space="0"/>
              <w:right w:val="single" w:color="auto" w:sz="4" w:space="0"/>
            </w:tcBorders>
            <w:vAlign w:val="center"/>
          </w:tcPr>
          <w:p w14:paraId="7F37AE04">
            <w:pPr>
              <w:widowControl/>
              <w:overflowPunct w:val="0"/>
              <w:autoSpaceDE w:val="0"/>
              <w:autoSpaceDN w:val="0"/>
              <w:spacing w:line="576" w:lineRule="exact"/>
              <w:jc w:val="center"/>
              <w:rPr>
                <w:rFonts w:ascii="Times New Roman" w:hAnsi="Times New Roman" w:eastAsia="宋体"/>
                <w:color w:val="000000"/>
                <w:kern w:val="0"/>
                <w:sz w:val="24"/>
                <w:szCs w:val="24"/>
              </w:rPr>
            </w:pPr>
            <w:r>
              <w:rPr>
                <w:rFonts w:hint="eastAsia" w:ascii="Times New Roman" w:hAnsi="宋体" w:eastAsia="宋体"/>
                <w:color w:val="000000"/>
                <w:kern w:val="0"/>
                <w:sz w:val="24"/>
                <w:szCs w:val="24"/>
              </w:rPr>
              <w:t>国家级示范社区</w:t>
            </w:r>
            <w:r>
              <w:rPr>
                <w:rFonts w:ascii="Times New Roman" w:hAnsi="Times New Roman" w:eastAsia="宋体"/>
                <w:color w:val="000000"/>
                <w:kern w:val="0"/>
                <w:sz w:val="24"/>
                <w:szCs w:val="24"/>
              </w:rPr>
              <w:t xml:space="preserve">    </w:t>
            </w:r>
          </w:p>
        </w:tc>
      </w:tr>
      <w:tr w14:paraId="5E742698">
        <w:tblPrEx>
          <w:tblCellMar>
            <w:top w:w="0" w:type="dxa"/>
            <w:left w:w="108" w:type="dxa"/>
            <w:bottom w:w="0" w:type="dxa"/>
            <w:right w:w="108" w:type="dxa"/>
          </w:tblCellMar>
        </w:tblPrEx>
        <w:trPr>
          <w:trHeight w:val="730" w:hRule="atLeast"/>
          <w:jc w:val="center"/>
        </w:trPr>
        <w:tc>
          <w:tcPr>
            <w:tcW w:w="746" w:type="dxa"/>
            <w:tcBorders>
              <w:top w:val="nil"/>
              <w:left w:val="single" w:color="auto" w:sz="4" w:space="0"/>
              <w:bottom w:val="single" w:color="auto" w:sz="4" w:space="0"/>
              <w:right w:val="single" w:color="auto" w:sz="4" w:space="0"/>
            </w:tcBorders>
            <w:noWrap/>
            <w:vAlign w:val="center"/>
          </w:tcPr>
          <w:p w14:paraId="7DA8E7C6">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w:t>
            </w:r>
          </w:p>
        </w:tc>
        <w:tc>
          <w:tcPr>
            <w:tcW w:w="709" w:type="dxa"/>
            <w:vMerge w:val="restart"/>
            <w:tcBorders>
              <w:top w:val="nil"/>
              <w:left w:val="nil"/>
              <w:bottom w:val="single" w:color="000000" w:sz="4" w:space="0"/>
              <w:right w:val="single" w:color="auto" w:sz="4" w:space="0"/>
            </w:tcBorders>
            <w:noWrap/>
            <w:vAlign w:val="center"/>
          </w:tcPr>
          <w:p w14:paraId="0C00C9D3">
            <w:pPr>
              <w:widowControl/>
              <w:overflowPunct w:val="0"/>
              <w:autoSpaceDE w:val="0"/>
              <w:autoSpaceDN w:val="0"/>
              <w:spacing w:line="576" w:lineRule="exact"/>
              <w:jc w:val="center"/>
              <w:rPr>
                <w:rFonts w:ascii="Times New Roman" w:hAnsi="Times New Roman" w:eastAsia="仿宋_GB2312"/>
                <w:kern w:val="0"/>
                <w:sz w:val="24"/>
                <w:szCs w:val="24"/>
              </w:rPr>
            </w:pPr>
            <w:r>
              <w:rPr>
                <w:rFonts w:ascii="Times New Roman" w:hAnsi="Times New Roman" w:eastAsia="仿宋_GB2312"/>
                <w:kern w:val="0"/>
                <w:sz w:val="24"/>
                <w:szCs w:val="24"/>
              </w:rPr>
              <w:t>2016</w:t>
            </w:r>
          </w:p>
        </w:tc>
        <w:tc>
          <w:tcPr>
            <w:tcW w:w="1163" w:type="dxa"/>
            <w:tcBorders>
              <w:top w:val="nil"/>
              <w:left w:val="nil"/>
              <w:bottom w:val="single" w:color="auto" w:sz="4" w:space="0"/>
              <w:right w:val="single" w:color="auto" w:sz="4" w:space="0"/>
            </w:tcBorders>
            <w:noWrap/>
            <w:vAlign w:val="center"/>
          </w:tcPr>
          <w:p w14:paraId="3104D8D9">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海州区</w:t>
            </w:r>
          </w:p>
        </w:tc>
        <w:tc>
          <w:tcPr>
            <w:tcW w:w="3060" w:type="dxa"/>
            <w:tcBorders>
              <w:top w:val="nil"/>
              <w:left w:val="nil"/>
              <w:bottom w:val="single" w:color="auto" w:sz="4" w:space="0"/>
              <w:right w:val="single" w:color="auto" w:sz="4" w:space="0"/>
            </w:tcBorders>
            <w:noWrap/>
            <w:vAlign w:val="center"/>
          </w:tcPr>
          <w:p w14:paraId="4BEB3C83">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河北街道西华园社区</w:t>
            </w:r>
          </w:p>
        </w:tc>
        <w:tc>
          <w:tcPr>
            <w:tcW w:w="3240" w:type="dxa"/>
            <w:tcBorders>
              <w:top w:val="nil"/>
              <w:left w:val="nil"/>
              <w:bottom w:val="single" w:color="auto" w:sz="4" w:space="0"/>
              <w:right w:val="single" w:color="auto" w:sz="4" w:space="0"/>
            </w:tcBorders>
            <w:noWrap/>
            <w:vAlign w:val="center"/>
          </w:tcPr>
          <w:p w14:paraId="065BE941">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河北街道西华园社区</w:t>
            </w:r>
          </w:p>
        </w:tc>
      </w:tr>
      <w:tr w14:paraId="562F0A4C">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504AD35B">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w:t>
            </w:r>
          </w:p>
        </w:tc>
        <w:tc>
          <w:tcPr>
            <w:tcW w:w="709" w:type="dxa"/>
            <w:vMerge w:val="continue"/>
            <w:tcBorders>
              <w:top w:val="nil"/>
              <w:left w:val="nil"/>
              <w:bottom w:val="single" w:color="000000" w:sz="4" w:space="0"/>
              <w:right w:val="single" w:color="auto" w:sz="4" w:space="0"/>
            </w:tcBorders>
            <w:vAlign w:val="center"/>
          </w:tcPr>
          <w:p w14:paraId="6C5D4D53">
            <w:pPr>
              <w:widowControl/>
              <w:overflowPunct w:val="0"/>
              <w:autoSpaceDE w:val="0"/>
              <w:autoSpaceDN w:val="0"/>
              <w:spacing w:line="576" w:lineRule="exact"/>
              <w:jc w:val="left"/>
              <w:rPr>
                <w:rFonts w:ascii="Times New Roman" w:hAnsi="Times New Roman" w:eastAsia="仿宋_GB2312"/>
                <w:kern w:val="0"/>
                <w:sz w:val="24"/>
                <w:szCs w:val="24"/>
              </w:rPr>
            </w:pPr>
          </w:p>
        </w:tc>
        <w:tc>
          <w:tcPr>
            <w:tcW w:w="1163" w:type="dxa"/>
            <w:tcBorders>
              <w:top w:val="nil"/>
              <w:left w:val="nil"/>
              <w:bottom w:val="single" w:color="auto" w:sz="4" w:space="0"/>
              <w:right w:val="single" w:color="auto" w:sz="4" w:space="0"/>
            </w:tcBorders>
            <w:noWrap/>
            <w:vAlign w:val="center"/>
          </w:tcPr>
          <w:p w14:paraId="19FA1D13">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新邱区</w:t>
            </w:r>
          </w:p>
        </w:tc>
        <w:tc>
          <w:tcPr>
            <w:tcW w:w="3060" w:type="dxa"/>
            <w:tcBorders>
              <w:top w:val="nil"/>
              <w:left w:val="nil"/>
              <w:bottom w:val="single" w:color="auto" w:sz="4" w:space="0"/>
              <w:right w:val="single" w:color="auto" w:sz="4" w:space="0"/>
            </w:tcBorders>
            <w:noWrap/>
            <w:vAlign w:val="center"/>
          </w:tcPr>
          <w:p w14:paraId="00DDD1E0">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新发街道繁荣社区</w:t>
            </w:r>
          </w:p>
        </w:tc>
        <w:tc>
          <w:tcPr>
            <w:tcW w:w="3240" w:type="dxa"/>
            <w:tcBorders>
              <w:top w:val="nil"/>
              <w:left w:val="nil"/>
              <w:bottom w:val="single" w:color="auto" w:sz="4" w:space="0"/>
              <w:right w:val="single" w:color="auto" w:sz="4" w:space="0"/>
            </w:tcBorders>
            <w:noWrap/>
            <w:vAlign w:val="center"/>
          </w:tcPr>
          <w:p w14:paraId="44FD4639">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新发街道繁荣社区</w:t>
            </w:r>
          </w:p>
        </w:tc>
      </w:tr>
      <w:tr w14:paraId="44B97716">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7F446243">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w:t>
            </w:r>
          </w:p>
        </w:tc>
        <w:tc>
          <w:tcPr>
            <w:tcW w:w="709" w:type="dxa"/>
            <w:vMerge w:val="continue"/>
            <w:tcBorders>
              <w:top w:val="nil"/>
              <w:left w:val="nil"/>
              <w:bottom w:val="single" w:color="000000" w:sz="4" w:space="0"/>
              <w:right w:val="single" w:color="auto" w:sz="4" w:space="0"/>
            </w:tcBorders>
            <w:vAlign w:val="center"/>
          </w:tcPr>
          <w:p w14:paraId="28DA8435">
            <w:pPr>
              <w:widowControl/>
              <w:overflowPunct w:val="0"/>
              <w:autoSpaceDE w:val="0"/>
              <w:autoSpaceDN w:val="0"/>
              <w:spacing w:line="576" w:lineRule="exact"/>
              <w:jc w:val="left"/>
              <w:rPr>
                <w:rFonts w:ascii="Times New Roman" w:hAnsi="Times New Roman" w:eastAsia="仿宋_GB2312"/>
                <w:kern w:val="0"/>
                <w:sz w:val="24"/>
                <w:szCs w:val="24"/>
              </w:rPr>
            </w:pPr>
          </w:p>
        </w:tc>
        <w:tc>
          <w:tcPr>
            <w:tcW w:w="1163" w:type="dxa"/>
            <w:tcBorders>
              <w:top w:val="nil"/>
              <w:left w:val="nil"/>
              <w:bottom w:val="single" w:color="auto" w:sz="4" w:space="0"/>
              <w:right w:val="single" w:color="auto" w:sz="4" w:space="0"/>
            </w:tcBorders>
            <w:noWrap/>
            <w:vAlign w:val="center"/>
          </w:tcPr>
          <w:p w14:paraId="1EB76F60">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彰武县</w:t>
            </w:r>
          </w:p>
        </w:tc>
        <w:tc>
          <w:tcPr>
            <w:tcW w:w="3060" w:type="dxa"/>
            <w:tcBorders>
              <w:top w:val="nil"/>
              <w:left w:val="nil"/>
              <w:bottom w:val="single" w:color="auto" w:sz="4" w:space="0"/>
              <w:right w:val="single" w:color="auto" w:sz="4" w:space="0"/>
            </w:tcBorders>
            <w:noWrap/>
            <w:vAlign w:val="center"/>
          </w:tcPr>
          <w:p w14:paraId="215545D3">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彰武镇北环街道站前社区</w:t>
            </w:r>
          </w:p>
        </w:tc>
        <w:tc>
          <w:tcPr>
            <w:tcW w:w="3240" w:type="dxa"/>
            <w:tcBorders>
              <w:top w:val="nil"/>
              <w:left w:val="nil"/>
              <w:bottom w:val="single" w:color="auto" w:sz="4" w:space="0"/>
              <w:right w:val="single" w:color="auto" w:sz="4" w:space="0"/>
            </w:tcBorders>
            <w:noWrap/>
            <w:vAlign w:val="center"/>
          </w:tcPr>
          <w:p w14:paraId="04244B89">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彰武镇北环街道站前社区</w:t>
            </w:r>
          </w:p>
        </w:tc>
      </w:tr>
      <w:tr w14:paraId="6C4A34BE">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3B372124">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w:t>
            </w:r>
          </w:p>
        </w:tc>
        <w:tc>
          <w:tcPr>
            <w:tcW w:w="709" w:type="dxa"/>
            <w:vMerge w:val="restart"/>
            <w:tcBorders>
              <w:top w:val="nil"/>
              <w:left w:val="nil"/>
              <w:bottom w:val="single" w:color="000000" w:sz="4" w:space="0"/>
              <w:right w:val="single" w:color="auto" w:sz="4" w:space="0"/>
            </w:tcBorders>
            <w:noWrap/>
            <w:vAlign w:val="center"/>
          </w:tcPr>
          <w:p w14:paraId="17B1BB74">
            <w:pPr>
              <w:widowControl/>
              <w:overflowPunct w:val="0"/>
              <w:autoSpaceDE w:val="0"/>
              <w:autoSpaceDN w:val="0"/>
              <w:spacing w:line="576" w:lineRule="exact"/>
              <w:jc w:val="center"/>
              <w:rPr>
                <w:rFonts w:ascii="Times New Roman" w:hAnsi="Times New Roman" w:eastAsia="仿宋_GB2312"/>
                <w:kern w:val="0"/>
                <w:sz w:val="24"/>
                <w:szCs w:val="24"/>
              </w:rPr>
            </w:pPr>
            <w:r>
              <w:rPr>
                <w:rFonts w:ascii="Times New Roman" w:hAnsi="Times New Roman" w:eastAsia="仿宋_GB2312"/>
                <w:kern w:val="0"/>
                <w:sz w:val="24"/>
                <w:szCs w:val="24"/>
              </w:rPr>
              <w:t>2017</w:t>
            </w:r>
          </w:p>
        </w:tc>
        <w:tc>
          <w:tcPr>
            <w:tcW w:w="1163" w:type="dxa"/>
            <w:tcBorders>
              <w:top w:val="nil"/>
              <w:left w:val="nil"/>
              <w:bottom w:val="single" w:color="auto" w:sz="4" w:space="0"/>
              <w:right w:val="single" w:color="auto" w:sz="4" w:space="0"/>
            </w:tcBorders>
            <w:noWrap/>
            <w:vAlign w:val="center"/>
          </w:tcPr>
          <w:p w14:paraId="4501EF35">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海州区</w:t>
            </w:r>
          </w:p>
        </w:tc>
        <w:tc>
          <w:tcPr>
            <w:tcW w:w="3060" w:type="dxa"/>
            <w:tcBorders>
              <w:top w:val="nil"/>
              <w:left w:val="nil"/>
              <w:bottom w:val="single" w:color="auto" w:sz="4" w:space="0"/>
              <w:right w:val="single" w:color="auto" w:sz="4" w:space="0"/>
            </w:tcBorders>
            <w:noWrap/>
            <w:vAlign w:val="center"/>
          </w:tcPr>
          <w:p w14:paraId="4CCF63F6">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工人村街道平安中部社区</w:t>
            </w:r>
          </w:p>
        </w:tc>
        <w:tc>
          <w:tcPr>
            <w:tcW w:w="3240" w:type="dxa"/>
            <w:tcBorders>
              <w:top w:val="nil"/>
              <w:left w:val="nil"/>
              <w:bottom w:val="single" w:color="auto" w:sz="4" w:space="0"/>
              <w:right w:val="single" w:color="auto" w:sz="4" w:space="0"/>
            </w:tcBorders>
            <w:noWrap/>
            <w:vAlign w:val="center"/>
          </w:tcPr>
          <w:p w14:paraId="65A1BFA6">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工人村街道平安中部社区</w:t>
            </w:r>
          </w:p>
        </w:tc>
      </w:tr>
      <w:tr w14:paraId="4D8AF58A">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3BE29F80">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w:t>
            </w:r>
          </w:p>
        </w:tc>
        <w:tc>
          <w:tcPr>
            <w:tcW w:w="709" w:type="dxa"/>
            <w:vMerge w:val="continue"/>
            <w:tcBorders>
              <w:top w:val="nil"/>
              <w:left w:val="nil"/>
              <w:bottom w:val="single" w:color="000000" w:sz="4" w:space="0"/>
              <w:right w:val="single" w:color="auto" w:sz="4" w:space="0"/>
            </w:tcBorders>
            <w:vAlign w:val="center"/>
          </w:tcPr>
          <w:p w14:paraId="446E5DF6">
            <w:pPr>
              <w:widowControl/>
              <w:overflowPunct w:val="0"/>
              <w:autoSpaceDE w:val="0"/>
              <w:autoSpaceDN w:val="0"/>
              <w:spacing w:line="576" w:lineRule="exact"/>
              <w:jc w:val="left"/>
              <w:rPr>
                <w:rFonts w:ascii="Times New Roman" w:hAnsi="Times New Roman" w:eastAsia="仿宋_GB2312"/>
                <w:kern w:val="0"/>
                <w:sz w:val="24"/>
                <w:szCs w:val="24"/>
              </w:rPr>
            </w:pPr>
          </w:p>
        </w:tc>
        <w:tc>
          <w:tcPr>
            <w:tcW w:w="1163" w:type="dxa"/>
            <w:tcBorders>
              <w:top w:val="nil"/>
              <w:left w:val="nil"/>
              <w:bottom w:val="single" w:color="auto" w:sz="4" w:space="0"/>
              <w:right w:val="single" w:color="auto" w:sz="4" w:space="0"/>
            </w:tcBorders>
            <w:noWrap/>
            <w:vAlign w:val="center"/>
          </w:tcPr>
          <w:p w14:paraId="09E6BDCC">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新邱区</w:t>
            </w:r>
          </w:p>
        </w:tc>
        <w:tc>
          <w:tcPr>
            <w:tcW w:w="3060" w:type="dxa"/>
            <w:tcBorders>
              <w:top w:val="nil"/>
              <w:left w:val="nil"/>
              <w:bottom w:val="single" w:color="auto" w:sz="4" w:space="0"/>
              <w:right w:val="single" w:color="auto" w:sz="4" w:space="0"/>
            </w:tcBorders>
            <w:noWrap/>
            <w:vAlign w:val="center"/>
          </w:tcPr>
          <w:p w14:paraId="55799A2B">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新发街道新发社区</w:t>
            </w:r>
          </w:p>
        </w:tc>
        <w:tc>
          <w:tcPr>
            <w:tcW w:w="3240" w:type="dxa"/>
            <w:tcBorders>
              <w:top w:val="nil"/>
              <w:left w:val="nil"/>
              <w:bottom w:val="single" w:color="auto" w:sz="4" w:space="0"/>
              <w:right w:val="single" w:color="auto" w:sz="4" w:space="0"/>
            </w:tcBorders>
            <w:noWrap/>
            <w:vAlign w:val="center"/>
          </w:tcPr>
          <w:p w14:paraId="6F2E4100">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新发街道新发社区</w:t>
            </w:r>
          </w:p>
        </w:tc>
      </w:tr>
      <w:tr w14:paraId="0AB8D59C">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7FDAADA6">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w:t>
            </w:r>
          </w:p>
        </w:tc>
        <w:tc>
          <w:tcPr>
            <w:tcW w:w="709" w:type="dxa"/>
            <w:vMerge w:val="restart"/>
            <w:tcBorders>
              <w:top w:val="nil"/>
              <w:left w:val="nil"/>
              <w:bottom w:val="single" w:color="000000" w:sz="4" w:space="0"/>
              <w:right w:val="single" w:color="auto" w:sz="4" w:space="0"/>
            </w:tcBorders>
            <w:noWrap/>
            <w:vAlign w:val="center"/>
          </w:tcPr>
          <w:p w14:paraId="797002B8">
            <w:pPr>
              <w:widowControl/>
              <w:overflowPunct w:val="0"/>
              <w:autoSpaceDE w:val="0"/>
              <w:autoSpaceDN w:val="0"/>
              <w:spacing w:line="576" w:lineRule="exact"/>
              <w:jc w:val="center"/>
              <w:rPr>
                <w:rFonts w:ascii="Times New Roman" w:hAnsi="Times New Roman" w:eastAsia="仿宋_GB2312"/>
                <w:kern w:val="0"/>
                <w:sz w:val="24"/>
                <w:szCs w:val="24"/>
              </w:rPr>
            </w:pPr>
            <w:r>
              <w:rPr>
                <w:rFonts w:ascii="Times New Roman" w:hAnsi="Times New Roman" w:eastAsia="仿宋_GB2312"/>
                <w:kern w:val="0"/>
                <w:sz w:val="24"/>
                <w:szCs w:val="24"/>
              </w:rPr>
              <w:t>2018</w:t>
            </w:r>
          </w:p>
        </w:tc>
        <w:tc>
          <w:tcPr>
            <w:tcW w:w="1163" w:type="dxa"/>
            <w:tcBorders>
              <w:top w:val="nil"/>
              <w:left w:val="nil"/>
              <w:bottom w:val="single" w:color="auto" w:sz="4" w:space="0"/>
              <w:right w:val="single" w:color="auto" w:sz="4" w:space="0"/>
            </w:tcBorders>
            <w:noWrap/>
            <w:vAlign w:val="center"/>
          </w:tcPr>
          <w:p w14:paraId="39166D44">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新邱区</w:t>
            </w:r>
          </w:p>
        </w:tc>
        <w:tc>
          <w:tcPr>
            <w:tcW w:w="3060" w:type="dxa"/>
            <w:tcBorders>
              <w:top w:val="nil"/>
              <w:left w:val="nil"/>
              <w:bottom w:val="single" w:color="auto" w:sz="4" w:space="0"/>
              <w:right w:val="single" w:color="auto" w:sz="4" w:space="0"/>
            </w:tcBorders>
            <w:noWrap/>
            <w:vAlign w:val="center"/>
          </w:tcPr>
          <w:p w14:paraId="5D26E238">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长营子街道长营子社区</w:t>
            </w:r>
          </w:p>
        </w:tc>
        <w:tc>
          <w:tcPr>
            <w:tcW w:w="3240" w:type="dxa"/>
            <w:tcBorders>
              <w:top w:val="nil"/>
              <w:left w:val="nil"/>
              <w:bottom w:val="nil"/>
              <w:right w:val="single" w:color="auto" w:sz="4" w:space="0"/>
            </w:tcBorders>
            <w:noWrap/>
            <w:vAlign w:val="center"/>
          </w:tcPr>
          <w:p w14:paraId="11E6F67F">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长营子街道长营子社区</w:t>
            </w:r>
          </w:p>
        </w:tc>
      </w:tr>
      <w:tr w14:paraId="3D29398C">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11CC7457">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w:t>
            </w:r>
          </w:p>
        </w:tc>
        <w:tc>
          <w:tcPr>
            <w:tcW w:w="709" w:type="dxa"/>
            <w:vMerge w:val="continue"/>
            <w:tcBorders>
              <w:top w:val="nil"/>
              <w:left w:val="nil"/>
              <w:bottom w:val="single" w:color="000000" w:sz="4" w:space="0"/>
              <w:right w:val="single" w:color="auto" w:sz="4" w:space="0"/>
            </w:tcBorders>
            <w:vAlign w:val="center"/>
          </w:tcPr>
          <w:p w14:paraId="422ACEF9">
            <w:pPr>
              <w:widowControl/>
              <w:overflowPunct w:val="0"/>
              <w:autoSpaceDE w:val="0"/>
              <w:autoSpaceDN w:val="0"/>
              <w:spacing w:line="576" w:lineRule="exact"/>
              <w:jc w:val="left"/>
              <w:rPr>
                <w:rFonts w:ascii="Times New Roman" w:hAnsi="Times New Roman" w:eastAsia="仿宋_GB2312"/>
                <w:kern w:val="0"/>
                <w:sz w:val="24"/>
                <w:szCs w:val="24"/>
              </w:rPr>
            </w:pPr>
          </w:p>
        </w:tc>
        <w:tc>
          <w:tcPr>
            <w:tcW w:w="1163" w:type="dxa"/>
            <w:tcBorders>
              <w:top w:val="nil"/>
              <w:left w:val="nil"/>
              <w:bottom w:val="single" w:color="auto" w:sz="4" w:space="0"/>
              <w:right w:val="single" w:color="auto" w:sz="4" w:space="0"/>
            </w:tcBorders>
            <w:noWrap/>
            <w:vAlign w:val="center"/>
          </w:tcPr>
          <w:p w14:paraId="00BFA9B1">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阜蒙县</w:t>
            </w:r>
          </w:p>
        </w:tc>
        <w:tc>
          <w:tcPr>
            <w:tcW w:w="3060" w:type="dxa"/>
            <w:tcBorders>
              <w:top w:val="nil"/>
              <w:left w:val="nil"/>
              <w:bottom w:val="single" w:color="auto" w:sz="4" w:space="0"/>
              <w:right w:val="nil"/>
            </w:tcBorders>
            <w:noWrap/>
            <w:vAlign w:val="center"/>
          </w:tcPr>
          <w:p w14:paraId="4B11BFF3">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城区街道富兴社区</w:t>
            </w:r>
          </w:p>
        </w:tc>
        <w:tc>
          <w:tcPr>
            <w:tcW w:w="3240" w:type="dxa"/>
            <w:tcBorders>
              <w:top w:val="single" w:color="auto" w:sz="4" w:space="0"/>
              <w:left w:val="single" w:color="auto" w:sz="4" w:space="0"/>
              <w:bottom w:val="single" w:color="auto" w:sz="4" w:space="0"/>
              <w:right w:val="single" w:color="auto" w:sz="4" w:space="0"/>
            </w:tcBorders>
            <w:noWrap/>
            <w:vAlign w:val="center"/>
          </w:tcPr>
          <w:p w14:paraId="12E599ED">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城区街道富兴社区</w:t>
            </w:r>
          </w:p>
        </w:tc>
      </w:tr>
      <w:tr w14:paraId="12DAE3CB">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3DC32E66">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w:t>
            </w:r>
          </w:p>
        </w:tc>
        <w:tc>
          <w:tcPr>
            <w:tcW w:w="709" w:type="dxa"/>
            <w:vMerge w:val="continue"/>
            <w:tcBorders>
              <w:top w:val="nil"/>
              <w:left w:val="nil"/>
              <w:bottom w:val="single" w:color="000000" w:sz="4" w:space="0"/>
              <w:right w:val="single" w:color="auto" w:sz="4" w:space="0"/>
            </w:tcBorders>
            <w:vAlign w:val="center"/>
          </w:tcPr>
          <w:p w14:paraId="405FC617">
            <w:pPr>
              <w:widowControl/>
              <w:overflowPunct w:val="0"/>
              <w:autoSpaceDE w:val="0"/>
              <w:autoSpaceDN w:val="0"/>
              <w:spacing w:line="576" w:lineRule="exact"/>
              <w:jc w:val="left"/>
              <w:rPr>
                <w:rFonts w:ascii="Times New Roman" w:hAnsi="Times New Roman" w:eastAsia="仿宋_GB2312"/>
                <w:kern w:val="0"/>
                <w:sz w:val="24"/>
                <w:szCs w:val="24"/>
              </w:rPr>
            </w:pPr>
          </w:p>
        </w:tc>
        <w:tc>
          <w:tcPr>
            <w:tcW w:w="1163" w:type="dxa"/>
            <w:tcBorders>
              <w:top w:val="nil"/>
              <w:left w:val="nil"/>
              <w:bottom w:val="single" w:color="auto" w:sz="4" w:space="0"/>
              <w:right w:val="single" w:color="auto" w:sz="4" w:space="0"/>
            </w:tcBorders>
            <w:noWrap/>
            <w:vAlign w:val="center"/>
          </w:tcPr>
          <w:p w14:paraId="71DC9C0E">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阜蒙县</w:t>
            </w:r>
          </w:p>
        </w:tc>
        <w:tc>
          <w:tcPr>
            <w:tcW w:w="3060" w:type="dxa"/>
            <w:tcBorders>
              <w:top w:val="nil"/>
              <w:left w:val="nil"/>
              <w:bottom w:val="single" w:color="auto" w:sz="4" w:space="0"/>
              <w:right w:val="nil"/>
            </w:tcBorders>
            <w:noWrap/>
            <w:vAlign w:val="center"/>
          </w:tcPr>
          <w:p w14:paraId="6BDF73A4">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十家子镇八宝海社区</w:t>
            </w:r>
          </w:p>
        </w:tc>
        <w:tc>
          <w:tcPr>
            <w:tcW w:w="3240" w:type="dxa"/>
            <w:tcBorders>
              <w:top w:val="nil"/>
              <w:left w:val="single" w:color="auto" w:sz="4" w:space="0"/>
              <w:bottom w:val="single" w:color="auto" w:sz="4" w:space="0"/>
              <w:right w:val="single" w:color="auto" w:sz="4" w:space="0"/>
            </w:tcBorders>
            <w:noWrap/>
            <w:vAlign w:val="center"/>
          </w:tcPr>
          <w:p w14:paraId="6A38ABFA">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十家子镇八宝海社区</w:t>
            </w:r>
          </w:p>
        </w:tc>
      </w:tr>
      <w:tr w14:paraId="797D2037">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20C28085">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w:t>
            </w:r>
          </w:p>
        </w:tc>
        <w:tc>
          <w:tcPr>
            <w:tcW w:w="709" w:type="dxa"/>
            <w:vMerge w:val="restart"/>
            <w:tcBorders>
              <w:top w:val="nil"/>
              <w:left w:val="nil"/>
              <w:bottom w:val="nil"/>
              <w:right w:val="single" w:color="auto" w:sz="4" w:space="0"/>
            </w:tcBorders>
            <w:noWrap/>
            <w:vAlign w:val="center"/>
          </w:tcPr>
          <w:p w14:paraId="7C716A49">
            <w:pPr>
              <w:widowControl/>
              <w:overflowPunct w:val="0"/>
              <w:autoSpaceDE w:val="0"/>
              <w:autoSpaceDN w:val="0"/>
              <w:spacing w:line="576" w:lineRule="exact"/>
              <w:jc w:val="center"/>
              <w:rPr>
                <w:rFonts w:ascii="Times New Roman" w:hAnsi="Times New Roman" w:eastAsia="仿宋_GB2312"/>
                <w:kern w:val="0"/>
                <w:sz w:val="24"/>
                <w:szCs w:val="24"/>
              </w:rPr>
            </w:pPr>
            <w:r>
              <w:rPr>
                <w:rFonts w:ascii="Times New Roman" w:hAnsi="Times New Roman" w:eastAsia="仿宋_GB2312"/>
                <w:kern w:val="0"/>
                <w:sz w:val="24"/>
                <w:szCs w:val="24"/>
              </w:rPr>
              <w:t>2019</w:t>
            </w:r>
          </w:p>
        </w:tc>
        <w:tc>
          <w:tcPr>
            <w:tcW w:w="1163" w:type="dxa"/>
            <w:tcBorders>
              <w:top w:val="nil"/>
              <w:left w:val="nil"/>
              <w:bottom w:val="single" w:color="auto" w:sz="4" w:space="0"/>
              <w:right w:val="single" w:color="auto" w:sz="4" w:space="0"/>
            </w:tcBorders>
            <w:noWrap/>
            <w:vAlign w:val="center"/>
          </w:tcPr>
          <w:p w14:paraId="2258B705">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新邱区</w:t>
            </w:r>
          </w:p>
        </w:tc>
        <w:tc>
          <w:tcPr>
            <w:tcW w:w="3060" w:type="dxa"/>
            <w:tcBorders>
              <w:top w:val="nil"/>
              <w:left w:val="nil"/>
              <w:bottom w:val="single" w:color="auto" w:sz="4" w:space="0"/>
              <w:right w:val="nil"/>
            </w:tcBorders>
            <w:noWrap/>
            <w:vAlign w:val="center"/>
          </w:tcPr>
          <w:p w14:paraId="06891918">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兴隆街道河汇社区</w:t>
            </w:r>
          </w:p>
        </w:tc>
        <w:tc>
          <w:tcPr>
            <w:tcW w:w="3240" w:type="dxa"/>
            <w:tcBorders>
              <w:top w:val="nil"/>
              <w:left w:val="single" w:color="auto" w:sz="4" w:space="0"/>
              <w:bottom w:val="single" w:color="auto" w:sz="4" w:space="0"/>
              <w:right w:val="single" w:color="auto" w:sz="4" w:space="0"/>
            </w:tcBorders>
            <w:noWrap/>
            <w:vAlign w:val="center"/>
          </w:tcPr>
          <w:p w14:paraId="264B5B07">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兴隆街道河汇社区</w:t>
            </w:r>
          </w:p>
        </w:tc>
      </w:tr>
      <w:tr w14:paraId="5DA8BD40">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79489B04">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10</w:t>
            </w:r>
          </w:p>
        </w:tc>
        <w:tc>
          <w:tcPr>
            <w:tcW w:w="709" w:type="dxa"/>
            <w:vMerge w:val="continue"/>
            <w:tcBorders>
              <w:top w:val="nil"/>
              <w:left w:val="nil"/>
              <w:bottom w:val="nil"/>
              <w:right w:val="single" w:color="auto" w:sz="4" w:space="0"/>
            </w:tcBorders>
            <w:vAlign w:val="center"/>
          </w:tcPr>
          <w:p w14:paraId="485EACFF">
            <w:pPr>
              <w:widowControl/>
              <w:overflowPunct w:val="0"/>
              <w:autoSpaceDE w:val="0"/>
              <w:autoSpaceDN w:val="0"/>
              <w:spacing w:line="576" w:lineRule="exact"/>
              <w:jc w:val="left"/>
              <w:rPr>
                <w:rFonts w:ascii="Times New Roman" w:hAnsi="Times New Roman" w:eastAsia="仿宋_GB2312"/>
                <w:kern w:val="0"/>
                <w:sz w:val="24"/>
                <w:szCs w:val="24"/>
              </w:rPr>
            </w:pPr>
          </w:p>
        </w:tc>
        <w:tc>
          <w:tcPr>
            <w:tcW w:w="1163" w:type="dxa"/>
            <w:tcBorders>
              <w:top w:val="nil"/>
              <w:left w:val="nil"/>
              <w:bottom w:val="nil"/>
              <w:right w:val="single" w:color="auto" w:sz="4" w:space="0"/>
            </w:tcBorders>
            <w:noWrap/>
            <w:vAlign w:val="center"/>
          </w:tcPr>
          <w:p w14:paraId="658B11DA">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海州区</w:t>
            </w:r>
          </w:p>
        </w:tc>
        <w:tc>
          <w:tcPr>
            <w:tcW w:w="3060" w:type="dxa"/>
            <w:tcBorders>
              <w:top w:val="nil"/>
              <w:left w:val="nil"/>
              <w:bottom w:val="nil"/>
              <w:right w:val="nil"/>
            </w:tcBorders>
            <w:noWrap/>
            <w:vAlign w:val="center"/>
          </w:tcPr>
          <w:p w14:paraId="36EA125A">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和平街道安宁社区</w:t>
            </w:r>
          </w:p>
        </w:tc>
        <w:tc>
          <w:tcPr>
            <w:tcW w:w="3240" w:type="dxa"/>
            <w:tcBorders>
              <w:top w:val="nil"/>
              <w:left w:val="single" w:color="auto" w:sz="4" w:space="0"/>
              <w:bottom w:val="nil"/>
              <w:right w:val="single" w:color="auto" w:sz="4" w:space="0"/>
            </w:tcBorders>
            <w:noWrap/>
            <w:vAlign w:val="center"/>
          </w:tcPr>
          <w:p w14:paraId="2DF0C3A4">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和平街道安宁社区</w:t>
            </w:r>
          </w:p>
        </w:tc>
      </w:tr>
      <w:tr w14:paraId="17FDE8AF">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2ED7A273">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w:t>
            </w:r>
          </w:p>
        </w:tc>
        <w:tc>
          <w:tcPr>
            <w:tcW w:w="709" w:type="dxa"/>
            <w:vMerge w:val="restart"/>
            <w:tcBorders>
              <w:top w:val="single" w:color="auto" w:sz="4" w:space="0"/>
              <w:left w:val="single" w:color="auto" w:sz="4" w:space="0"/>
              <w:bottom w:val="single" w:color="000000" w:sz="4" w:space="0"/>
              <w:right w:val="single" w:color="auto" w:sz="4" w:space="0"/>
            </w:tcBorders>
            <w:noWrap/>
            <w:vAlign w:val="center"/>
          </w:tcPr>
          <w:p w14:paraId="0494A0F4">
            <w:pPr>
              <w:widowControl/>
              <w:overflowPunct w:val="0"/>
              <w:autoSpaceDE w:val="0"/>
              <w:autoSpaceDN w:val="0"/>
              <w:spacing w:line="576" w:lineRule="exact"/>
              <w:jc w:val="center"/>
              <w:rPr>
                <w:rFonts w:ascii="Times New Roman" w:hAnsi="Times New Roman" w:eastAsia="仿宋_GB2312"/>
                <w:color w:val="000000"/>
                <w:kern w:val="0"/>
                <w:sz w:val="22"/>
              </w:rPr>
            </w:pPr>
            <w:r>
              <w:rPr>
                <w:rFonts w:ascii="Times New Roman" w:hAnsi="Times New Roman" w:eastAsia="仿宋_GB2312"/>
                <w:color w:val="000000"/>
                <w:kern w:val="0"/>
                <w:sz w:val="22"/>
              </w:rPr>
              <w:t>2020</w:t>
            </w:r>
          </w:p>
        </w:tc>
        <w:tc>
          <w:tcPr>
            <w:tcW w:w="1163" w:type="dxa"/>
            <w:tcBorders>
              <w:top w:val="single" w:color="auto" w:sz="4" w:space="0"/>
              <w:left w:val="nil"/>
              <w:bottom w:val="single" w:color="auto" w:sz="4" w:space="0"/>
              <w:right w:val="single" w:color="auto" w:sz="4" w:space="0"/>
            </w:tcBorders>
            <w:noWrap/>
            <w:vAlign w:val="center"/>
          </w:tcPr>
          <w:p w14:paraId="468AF330">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海州区</w:t>
            </w:r>
          </w:p>
        </w:tc>
        <w:tc>
          <w:tcPr>
            <w:tcW w:w="3060" w:type="dxa"/>
            <w:tcBorders>
              <w:top w:val="single" w:color="auto" w:sz="4" w:space="0"/>
              <w:left w:val="nil"/>
              <w:bottom w:val="single" w:color="auto" w:sz="4" w:space="0"/>
              <w:right w:val="single" w:color="auto" w:sz="4" w:space="0"/>
            </w:tcBorders>
            <w:noWrap/>
            <w:vAlign w:val="center"/>
          </w:tcPr>
          <w:p w14:paraId="42800471">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河北街道三一八社区</w:t>
            </w:r>
          </w:p>
        </w:tc>
        <w:tc>
          <w:tcPr>
            <w:tcW w:w="3240" w:type="dxa"/>
            <w:tcBorders>
              <w:top w:val="single" w:color="auto" w:sz="4" w:space="0"/>
              <w:left w:val="nil"/>
              <w:bottom w:val="single" w:color="auto" w:sz="4" w:space="0"/>
              <w:right w:val="single" w:color="auto" w:sz="4" w:space="0"/>
            </w:tcBorders>
            <w:noWrap/>
            <w:vAlign w:val="center"/>
          </w:tcPr>
          <w:p w14:paraId="566272EE">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待验收</w:t>
            </w:r>
          </w:p>
        </w:tc>
      </w:tr>
      <w:tr w14:paraId="6FF06A92">
        <w:tblPrEx>
          <w:tblCellMar>
            <w:top w:w="0" w:type="dxa"/>
            <w:left w:w="108" w:type="dxa"/>
            <w:bottom w:w="0" w:type="dxa"/>
            <w:right w:w="108" w:type="dxa"/>
          </w:tblCellMar>
        </w:tblPrEx>
        <w:trPr>
          <w:trHeight w:val="600" w:hRule="atLeast"/>
          <w:jc w:val="center"/>
        </w:trPr>
        <w:tc>
          <w:tcPr>
            <w:tcW w:w="746" w:type="dxa"/>
            <w:tcBorders>
              <w:top w:val="nil"/>
              <w:left w:val="single" w:color="auto" w:sz="4" w:space="0"/>
              <w:bottom w:val="single" w:color="auto" w:sz="4" w:space="0"/>
              <w:right w:val="single" w:color="auto" w:sz="4" w:space="0"/>
            </w:tcBorders>
            <w:noWrap/>
            <w:vAlign w:val="center"/>
          </w:tcPr>
          <w:p w14:paraId="3668AB71">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w:t>
            </w:r>
          </w:p>
        </w:tc>
        <w:tc>
          <w:tcPr>
            <w:tcW w:w="709" w:type="dxa"/>
            <w:vMerge w:val="continue"/>
            <w:tcBorders>
              <w:top w:val="single" w:color="auto" w:sz="4" w:space="0"/>
              <w:left w:val="single" w:color="auto" w:sz="4" w:space="0"/>
              <w:bottom w:val="single" w:color="000000" w:sz="4" w:space="0"/>
              <w:right w:val="single" w:color="auto" w:sz="4" w:space="0"/>
            </w:tcBorders>
            <w:vAlign w:val="center"/>
          </w:tcPr>
          <w:p w14:paraId="57ACEDF5">
            <w:pPr>
              <w:widowControl/>
              <w:overflowPunct w:val="0"/>
              <w:autoSpaceDE w:val="0"/>
              <w:autoSpaceDN w:val="0"/>
              <w:spacing w:line="576" w:lineRule="exact"/>
              <w:jc w:val="left"/>
              <w:rPr>
                <w:rFonts w:ascii="Times New Roman" w:hAnsi="Times New Roman" w:eastAsia="仿宋_GB2312"/>
                <w:color w:val="000000"/>
                <w:kern w:val="0"/>
                <w:sz w:val="22"/>
              </w:rPr>
            </w:pPr>
          </w:p>
        </w:tc>
        <w:tc>
          <w:tcPr>
            <w:tcW w:w="1163" w:type="dxa"/>
            <w:tcBorders>
              <w:top w:val="nil"/>
              <w:left w:val="nil"/>
              <w:bottom w:val="single" w:color="auto" w:sz="4" w:space="0"/>
              <w:right w:val="single" w:color="auto" w:sz="4" w:space="0"/>
            </w:tcBorders>
            <w:noWrap/>
            <w:vAlign w:val="center"/>
          </w:tcPr>
          <w:p w14:paraId="177AEFC2">
            <w:pPr>
              <w:widowControl/>
              <w:overflowPunct w:val="0"/>
              <w:autoSpaceDE w:val="0"/>
              <w:autoSpaceDN w:val="0"/>
              <w:spacing w:line="576" w:lineRule="exact"/>
              <w:jc w:val="center"/>
              <w:rPr>
                <w:rFonts w:ascii="Times New Roman" w:hAnsi="Times New Roman" w:eastAsia="仿宋_GB2312"/>
                <w:kern w:val="0"/>
                <w:sz w:val="24"/>
                <w:szCs w:val="24"/>
              </w:rPr>
            </w:pPr>
            <w:r>
              <w:rPr>
                <w:rFonts w:hint="eastAsia" w:ascii="Times New Roman" w:hAnsi="Times New Roman" w:eastAsia="仿宋_GB2312"/>
                <w:kern w:val="0"/>
                <w:sz w:val="24"/>
                <w:szCs w:val="24"/>
              </w:rPr>
              <w:t>阜蒙县</w:t>
            </w:r>
          </w:p>
        </w:tc>
        <w:tc>
          <w:tcPr>
            <w:tcW w:w="3060" w:type="dxa"/>
            <w:tcBorders>
              <w:top w:val="nil"/>
              <w:left w:val="nil"/>
              <w:bottom w:val="single" w:color="auto" w:sz="4" w:space="0"/>
              <w:right w:val="single" w:color="auto" w:sz="4" w:space="0"/>
            </w:tcBorders>
            <w:noWrap/>
            <w:vAlign w:val="center"/>
          </w:tcPr>
          <w:p w14:paraId="4D7DA1A8">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城区街道民富社区</w:t>
            </w:r>
          </w:p>
        </w:tc>
        <w:tc>
          <w:tcPr>
            <w:tcW w:w="3240" w:type="dxa"/>
            <w:tcBorders>
              <w:top w:val="nil"/>
              <w:left w:val="nil"/>
              <w:bottom w:val="single" w:color="auto" w:sz="4" w:space="0"/>
              <w:right w:val="single" w:color="auto" w:sz="4" w:space="0"/>
            </w:tcBorders>
            <w:noWrap/>
            <w:vAlign w:val="center"/>
          </w:tcPr>
          <w:p w14:paraId="3F8293C1">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待验收</w:t>
            </w:r>
          </w:p>
        </w:tc>
      </w:tr>
      <w:tr w14:paraId="34433743">
        <w:tblPrEx>
          <w:tblCellMar>
            <w:top w:w="0" w:type="dxa"/>
            <w:left w:w="108" w:type="dxa"/>
            <w:bottom w:w="0" w:type="dxa"/>
            <w:right w:w="108" w:type="dxa"/>
          </w:tblCellMar>
        </w:tblPrEx>
        <w:trPr>
          <w:trHeight w:val="600" w:hRule="atLeast"/>
          <w:jc w:val="center"/>
        </w:trPr>
        <w:tc>
          <w:tcPr>
            <w:tcW w:w="2618" w:type="dxa"/>
            <w:gridSpan w:val="3"/>
            <w:tcBorders>
              <w:top w:val="nil"/>
              <w:left w:val="single" w:color="auto" w:sz="4" w:space="0"/>
              <w:bottom w:val="single" w:color="auto" w:sz="4" w:space="0"/>
              <w:right w:val="single" w:color="auto" w:sz="4" w:space="0"/>
            </w:tcBorders>
            <w:noWrap/>
            <w:vAlign w:val="center"/>
          </w:tcPr>
          <w:p w14:paraId="3F097C76">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合计</w:t>
            </w:r>
          </w:p>
        </w:tc>
        <w:tc>
          <w:tcPr>
            <w:tcW w:w="3060" w:type="dxa"/>
            <w:tcBorders>
              <w:top w:val="nil"/>
              <w:left w:val="nil"/>
              <w:bottom w:val="single" w:color="auto" w:sz="4" w:space="0"/>
              <w:right w:val="single" w:color="auto" w:sz="4" w:space="0"/>
            </w:tcBorders>
            <w:noWrap/>
            <w:vAlign w:val="center"/>
          </w:tcPr>
          <w:p w14:paraId="70C087A4">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w:t>
            </w:r>
            <w:r>
              <w:rPr>
                <w:rFonts w:hint="eastAsia" w:ascii="Times New Roman" w:hAnsi="Times New Roman" w:eastAsia="仿宋_GB2312"/>
                <w:color w:val="000000"/>
                <w:kern w:val="0"/>
                <w:sz w:val="24"/>
                <w:szCs w:val="24"/>
              </w:rPr>
              <w:t>个</w:t>
            </w:r>
          </w:p>
        </w:tc>
        <w:tc>
          <w:tcPr>
            <w:tcW w:w="3240" w:type="dxa"/>
            <w:tcBorders>
              <w:top w:val="nil"/>
              <w:left w:val="nil"/>
              <w:bottom w:val="single" w:color="auto" w:sz="4" w:space="0"/>
              <w:right w:val="single" w:color="auto" w:sz="4" w:space="0"/>
            </w:tcBorders>
            <w:noWrap/>
            <w:vAlign w:val="center"/>
          </w:tcPr>
          <w:p w14:paraId="7DA5320E">
            <w:pPr>
              <w:widowControl/>
              <w:overflowPunct w:val="0"/>
              <w:autoSpaceDE w:val="0"/>
              <w:autoSpaceDN w:val="0"/>
              <w:spacing w:line="576" w:lineRule="exact"/>
              <w:jc w:val="center"/>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10</w:t>
            </w:r>
            <w:r>
              <w:rPr>
                <w:rFonts w:hint="eastAsia" w:ascii="Times New Roman" w:hAnsi="Times New Roman" w:eastAsia="仿宋_GB2312"/>
                <w:color w:val="000000"/>
                <w:kern w:val="0"/>
                <w:sz w:val="24"/>
                <w:szCs w:val="24"/>
              </w:rPr>
              <w:t>个</w:t>
            </w:r>
          </w:p>
        </w:tc>
      </w:tr>
    </w:tbl>
    <w:p w14:paraId="2D1B2038">
      <w:pPr>
        <w:shd w:val="clear" w:color="auto" w:fill="FFFFFF"/>
        <w:overflowPunct w:val="0"/>
        <w:autoSpaceDE w:val="0"/>
        <w:autoSpaceDN w:val="0"/>
        <w:snapToGrid w:val="0"/>
        <w:spacing w:line="576" w:lineRule="exact"/>
        <w:ind w:firstLine="640" w:firstLineChars="200"/>
        <w:rPr>
          <w:rFonts w:ascii="Times New Roman" w:hAnsi="Times New Roman" w:eastAsia="仿宋_GB2312"/>
          <w:sz w:val="32"/>
          <w:szCs w:val="32"/>
        </w:rPr>
      </w:pPr>
      <w:r>
        <w:rPr>
          <w:rFonts w:hint="eastAsia" w:ascii="Times New Roman" w:hAnsi="仿宋_GB2312" w:eastAsia="仿宋_GB2312"/>
          <w:color w:val="333333"/>
          <w:sz w:val="32"/>
          <w:szCs w:val="32"/>
          <w:shd w:val="clear" w:color="auto" w:fill="FFFFFF"/>
        </w:rPr>
        <w:t>强化震情监测，提升我市抗震减灾能力。全市现有</w:t>
      </w:r>
      <w:r>
        <w:rPr>
          <w:rFonts w:ascii="Times New Roman" w:hAnsi="Times New Roman" w:eastAsia="仿宋_GB2312"/>
          <w:color w:val="333333"/>
          <w:sz w:val="32"/>
          <w:szCs w:val="32"/>
          <w:shd w:val="clear" w:color="auto" w:fill="FFFFFF"/>
        </w:rPr>
        <w:t>5</w:t>
      </w:r>
      <w:r>
        <w:rPr>
          <w:rFonts w:hint="eastAsia" w:ascii="Times New Roman" w:hAnsi="仿宋_GB2312" w:eastAsia="仿宋_GB2312"/>
          <w:color w:val="333333"/>
          <w:sz w:val="32"/>
          <w:szCs w:val="32"/>
          <w:shd w:val="clear" w:color="auto" w:fill="FFFFFF"/>
        </w:rPr>
        <w:t>个地震监测台站，分别是阜新地震台、哈达户稍地震台、</w:t>
      </w:r>
      <w:r>
        <w:rPr>
          <w:rFonts w:hint="eastAsia" w:ascii="Times New Roman" w:hAnsi="仿宋_GB2312" w:eastAsia="仿宋_GB2312"/>
          <w:color w:val="333333"/>
          <w:sz w:val="32"/>
          <w:szCs w:val="32"/>
        </w:rPr>
        <w:t>福兴地观测站、彰武县地震台、后新秋地震台。同时，在两县五区</w:t>
      </w:r>
      <w:r>
        <w:rPr>
          <w:rFonts w:ascii="Times New Roman" w:hAnsi="Times New Roman" w:eastAsia="仿宋_GB2312"/>
          <w:color w:val="333333"/>
          <w:sz w:val="32"/>
          <w:szCs w:val="32"/>
        </w:rPr>
        <w:t>14</w:t>
      </w:r>
      <w:r>
        <w:rPr>
          <w:rFonts w:hint="eastAsia" w:ascii="Times New Roman" w:hAnsi="仿宋_GB2312" w:eastAsia="仿宋_GB2312"/>
          <w:color w:val="333333"/>
          <w:sz w:val="32"/>
          <w:szCs w:val="32"/>
        </w:rPr>
        <w:t>所学校安装了地震预警信息发布终端，我市地震监测预警能力全面提升。据统计，</w:t>
      </w:r>
      <w:r>
        <w:rPr>
          <w:rFonts w:hint="eastAsia" w:ascii="仿宋_GB2312" w:hAnsi="仿宋_GB2312" w:eastAsia="仿宋_GB2312" w:cs="仿宋_GB2312"/>
          <w:sz w:val="32"/>
          <w:szCs w:val="32"/>
        </w:rPr>
        <w:t>“十三五”期间，我市共发生矿震</w:t>
      </w:r>
      <w:r>
        <w:rPr>
          <w:rFonts w:ascii="仿宋_GB2312" w:hAnsi="仿宋_GB2312" w:eastAsia="仿宋_GB2312" w:cs="仿宋_GB2312"/>
          <w:sz w:val="32"/>
          <w:szCs w:val="32"/>
        </w:rPr>
        <w:t>1984</w:t>
      </w:r>
      <w:r>
        <w:rPr>
          <w:rFonts w:hint="eastAsia" w:ascii="仿宋_GB2312" w:hAnsi="仿宋_GB2312" w:eastAsia="仿宋_GB2312" w:cs="仿宋_GB2312"/>
          <w:sz w:val="32"/>
          <w:szCs w:val="32"/>
        </w:rPr>
        <w:t>次，地方震（距阜新地震台≤</w:t>
      </w:r>
      <w:r>
        <w:rPr>
          <w:rFonts w:ascii="仿宋_GB2312" w:hAnsi="仿宋_GB2312" w:eastAsia="仿宋_GB2312" w:cs="仿宋_GB2312"/>
          <w:sz w:val="32"/>
          <w:szCs w:val="32"/>
        </w:rPr>
        <w:t>100</w:t>
      </w:r>
      <w:r>
        <w:rPr>
          <w:rFonts w:hint="eastAsia" w:ascii="仿宋_GB2312" w:hAnsi="仿宋_GB2312" w:eastAsia="仿宋_GB2312" w:cs="仿宋_GB2312"/>
          <w:sz w:val="32"/>
          <w:szCs w:val="32"/>
        </w:rPr>
        <w:t>公里）</w:t>
      </w:r>
      <w:r>
        <w:rPr>
          <w:rFonts w:ascii="仿宋_GB2312" w:hAnsi="仿宋_GB2312" w:eastAsia="仿宋_GB2312" w:cs="仿宋_GB2312"/>
          <w:sz w:val="32"/>
          <w:szCs w:val="32"/>
        </w:rPr>
        <w:t>170</w:t>
      </w:r>
      <w:r>
        <w:rPr>
          <w:rFonts w:hint="eastAsia" w:ascii="仿宋_GB2312" w:hAnsi="仿宋_GB2312" w:eastAsia="仿宋_GB2312" w:cs="仿宋_GB2312"/>
          <w:sz w:val="32"/>
          <w:szCs w:val="32"/>
        </w:rPr>
        <w:t>次（详见表三）。</w:t>
      </w:r>
    </w:p>
    <w:p w14:paraId="3AA7FF8A">
      <w:pPr>
        <w:overflowPunct w:val="0"/>
        <w:autoSpaceDE w:val="0"/>
        <w:autoSpaceDN w:val="0"/>
        <w:spacing w:line="576" w:lineRule="exact"/>
        <w:jc w:val="center"/>
        <w:rPr>
          <w:rFonts w:ascii="Times New Roman" w:hAnsi="Times New Roman" w:eastAsia="黑体"/>
          <w:sz w:val="28"/>
          <w:szCs w:val="36"/>
        </w:rPr>
      </w:pPr>
      <w:r>
        <w:rPr>
          <w:rFonts w:hint="eastAsia" w:ascii="Times New Roman" w:hAnsi="黑体" w:eastAsia="黑体"/>
          <w:sz w:val="28"/>
          <w:szCs w:val="36"/>
        </w:rPr>
        <w:t>阜新地区</w:t>
      </w:r>
      <w:r>
        <w:rPr>
          <w:rFonts w:ascii="Times New Roman" w:hAnsi="Times New Roman" w:eastAsia="黑体"/>
          <w:sz w:val="28"/>
          <w:szCs w:val="36"/>
        </w:rPr>
        <w:t>“</w:t>
      </w:r>
      <w:r>
        <w:rPr>
          <w:rFonts w:hint="eastAsia" w:ascii="Times New Roman" w:hAnsi="黑体" w:eastAsia="黑体"/>
          <w:sz w:val="28"/>
          <w:szCs w:val="36"/>
        </w:rPr>
        <w:t>十三五</w:t>
      </w:r>
      <w:r>
        <w:rPr>
          <w:rFonts w:ascii="Times New Roman" w:hAnsi="Times New Roman" w:eastAsia="黑体"/>
          <w:sz w:val="28"/>
          <w:szCs w:val="36"/>
        </w:rPr>
        <w:t>”</w:t>
      </w:r>
      <w:r>
        <w:rPr>
          <w:rFonts w:hint="eastAsia" w:ascii="Times New Roman" w:hAnsi="黑体" w:eastAsia="黑体"/>
          <w:sz w:val="28"/>
          <w:szCs w:val="36"/>
        </w:rPr>
        <w:t>期间地震监测情况一览表（</w:t>
      </w:r>
      <w:r>
        <w:rPr>
          <w:rFonts w:ascii="Times New Roman" w:hAnsi="Times New Roman" w:eastAsia="黑体"/>
          <w:sz w:val="28"/>
          <w:szCs w:val="36"/>
        </w:rPr>
        <w:t>M</w:t>
      </w:r>
      <w:r>
        <w:rPr>
          <w:rFonts w:ascii="Times New Roman" w:hAnsi="Times New Roman" w:eastAsia="黑体"/>
          <w:sz w:val="28"/>
          <w:szCs w:val="36"/>
          <w:vertAlign w:val="subscript"/>
        </w:rPr>
        <w:t>L</w:t>
      </w:r>
      <w:r>
        <w:rPr>
          <w:rFonts w:ascii="Times New Roman" w:hAnsi="Times New Roman" w:eastAsia="黑体"/>
          <w:sz w:val="28"/>
          <w:szCs w:val="36"/>
        </w:rPr>
        <w:t>≥1.0</w:t>
      </w:r>
      <w:r>
        <w:rPr>
          <w:rFonts w:hint="eastAsia" w:ascii="Times New Roman" w:hAnsi="黑体" w:eastAsia="黑体"/>
          <w:sz w:val="28"/>
          <w:szCs w:val="36"/>
        </w:rPr>
        <w:t>）（表三）</w:t>
      </w:r>
    </w:p>
    <w:tbl>
      <w:tblPr>
        <w:tblStyle w:val="8"/>
        <w:tblpPr w:leftFromText="180" w:rightFromText="180" w:vertAnchor="page" w:horzAnchor="margin" w:tblpY="25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0"/>
        <w:gridCol w:w="986"/>
        <w:gridCol w:w="1079"/>
        <w:gridCol w:w="1102"/>
        <w:gridCol w:w="962"/>
        <w:gridCol w:w="1016"/>
        <w:gridCol w:w="974"/>
        <w:gridCol w:w="1348"/>
      </w:tblGrid>
      <w:tr w14:paraId="30CD9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430" w:type="dxa"/>
            <w:vAlign w:val="center"/>
          </w:tcPr>
          <w:p w14:paraId="5940449D">
            <w:pPr>
              <w:overflowPunct w:val="0"/>
              <w:autoSpaceDE w:val="0"/>
              <w:autoSpaceDN w:val="0"/>
              <w:snapToGrid w:val="0"/>
              <w:spacing w:line="576" w:lineRule="exact"/>
              <w:jc w:val="center"/>
              <w:rPr>
                <w:rFonts w:ascii="宋体" w:hAnsi="宋体" w:eastAsia="宋体"/>
                <w:sz w:val="24"/>
                <w:szCs w:val="24"/>
              </w:rPr>
            </w:pPr>
            <w:r>
              <w:rPr>
                <w:rFonts w:hint="eastAsia" w:ascii="宋体" w:hAnsi="宋体" w:eastAsia="宋体"/>
                <w:sz w:val="24"/>
                <w:szCs w:val="24"/>
              </w:rPr>
              <w:t>类别频次</w:t>
            </w:r>
          </w:p>
          <w:p w14:paraId="7B940A8C">
            <w:pPr>
              <w:overflowPunct w:val="0"/>
              <w:autoSpaceDE w:val="0"/>
              <w:autoSpaceDN w:val="0"/>
              <w:spacing w:line="576" w:lineRule="exact"/>
              <w:jc w:val="center"/>
              <w:rPr>
                <w:rFonts w:ascii="宋体" w:hAnsi="宋体" w:eastAsia="宋体"/>
                <w:sz w:val="24"/>
                <w:szCs w:val="24"/>
              </w:rPr>
            </w:pPr>
            <w:r>
              <w:rPr>
                <w:rFonts w:hint="eastAsia" w:ascii="宋体" w:hAnsi="宋体" w:eastAsia="宋体"/>
                <w:sz w:val="24"/>
                <w:szCs w:val="24"/>
              </w:rPr>
              <w:t>年度</w:t>
            </w:r>
          </w:p>
        </w:tc>
        <w:tc>
          <w:tcPr>
            <w:tcW w:w="986" w:type="dxa"/>
            <w:vAlign w:val="center"/>
          </w:tcPr>
          <w:p w14:paraId="669ABBD0">
            <w:pPr>
              <w:overflowPunct w:val="0"/>
              <w:autoSpaceDE w:val="0"/>
              <w:autoSpaceDN w:val="0"/>
              <w:spacing w:line="576" w:lineRule="exact"/>
              <w:jc w:val="center"/>
              <w:rPr>
                <w:rFonts w:ascii="宋体" w:hAnsi="宋体" w:eastAsia="宋体"/>
                <w:sz w:val="24"/>
                <w:szCs w:val="24"/>
              </w:rPr>
            </w:pPr>
            <w:r>
              <w:rPr>
                <w:rFonts w:ascii="宋体" w:hAnsi="宋体" w:eastAsia="宋体"/>
                <w:sz w:val="24"/>
                <w:szCs w:val="24"/>
              </w:rPr>
              <w:t>2016</w:t>
            </w:r>
            <w:r>
              <w:rPr>
                <w:rFonts w:hint="eastAsia" w:ascii="宋体" w:hAnsi="宋体" w:eastAsia="宋体"/>
                <w:sz w:val="24"/>
                <w:szCs w:val="24"/>
              </w:rPr>
              <w:t>年</w:t>
            </w:r>
          </w:p>
        </w:tc>
        <w:tc>
          <w:tcPr>
            <w:tcW w:w="1079" w:type="dxa"/>
            <w:vAlign w:val="center"/>
          </w:tcPr>
          <w:p w14:paraId="4CC224BC">
            <w:pPr>
              <w:overflowPunct w:val="0"/>
              <w:autoSpaceDE w:val="0"/>
              <w:autoSpaceDN w:val="0"/>
              <w:spacing w:line="576" w:lineRule="exact"/>
              <w:jc w:val="center"/>
              <w:rPr>
                <w:rFonts w:ascii="宋体" w:hAnsi="宋体" w:eastAsia="宋体"/>
                <w:sz w:val="24"/>
                <w:szCs w:val="24"/>
              </w:rPr>
            </w:pPr>
            <w:r>
              <w:rPr>
                <w:rFonts w:ascii="宋体" w:hAnsi="宋体" w:eastAsia="宋体"/>
                <w:sz w:val="24"/>
                <w:szCs w:val="24"/>
              </w:rPr>
              <w:t>2017</w:t>
            </w:r>
            <w:r>
              <w:rPr>
                <w:rFonts w:hint="eastAsia" w:ascii="宋体" w:hAnsi="宋体" w:eastAsia="宋体"/>
                <w:sz w:val="24"/>
                <w:szCs w:val="24"/>
              </w:rPr>
              <w:t>年</w:t>
            </w:r>
          </w:p>
        </w:tc>
        <w:tc>
          <w:tcPr>
            <w:tcW w:w="1102" w:type="dxa"/>
            <w:vAlign w:val="center"/>
          </w:tcPr>
          <w:p w14:paraId="110D08DB">
            <w:pPr>
              <w:overflowPunct w:val="0"/>
              <w:autoSpaceDE w:val="0"/>
              <w:autoSpaceDN w:val="0"/>
              <w:spacing w:line="576" w:lineRule="exact"/>
              <w:jc w:val="center"/>
              <w:rPr>
                <w:rFonts w:ascii="宋体" w:hAnsi="宋体" w:eastAsia="宋体"/>
                <w:sz w:val="24"/>
                <w:szCs w:val="24"/>
              </w:rPr>
            </w:pPr>
            <w:r>
              <w:rPr>
                <w:rFonts w:ascii="宋体" w:hAnsi="宋体" w:eastAsia="宋体"/>
                <w:sz w:val="24"/>
                <w:szCs w:val="24"/>
              </w:rPr>
              <w:t>2018</w:t>
            </w:r>
            <w:r>
              <w:rPr>
                <w:rFonts w:hint="eastAsia" w:ascii="宋体" w:hAnsi="宋体" w:eastAsia="宋体"/>
                <w:sz w:val="24"/>
                <w:szCs w:val="24"/>
              </w:rPr>
              <w:t>年</w:t>
            </w:r>
          </w:p>
        </w:tc>
        <w:tc>
          <w:tcPr>
            <w:tcW w:w="962" w:type="dxa"/>
            <w:vAlign w:val="center"/>
          </w:tcPr>
          <w:p w14:paraId="1026906C">
            <w:pPr>
              <w:overflowPunct w:val="0"/>
              <w:autoSpaceDE w:val="0"/>
              <w:autoSpaceDN w:val="0"/>
              <w:spacing w:line="576" w:lineRule="exact"/>
              <w:jc w:val="center"/>
              <w:rPr>
                <w:rFonts w:ascii="宋体" w:hAnsi="宋体" w:eastAsia="宋体"/>
                <w:sz w:val="24"/>
                <w:szCs w:val="24"/>
              </w:rPr>
            </w:pPr>
            <w:r>
              <w:rPr>
                <w:rFonts w:ascii="宋体" w:hAnsi="宋体" w:eastAsia="宋体"/>
                <w:sz w:val="24"/>
                <w:szCs w:val="24"/>
              </w:rPr>
              <w:t>2019</w:t>
            </w:r>
            <w:r>
              <w:rPr>
                <w:rFonts w:hint="eastAsia" w:ascii="宋体" w:hAnsi="宋体" w:eastAsia="宋体"/>
                <w:sz w:val="24"/>
                <w:szCs w:val="24"/>
              </w:rPr>
              <w:t>年</w:t>
            </w:r>
          </w:p>
        </w:tc>
        <w:tc>
          <w:tcPr>
            <w:tcW w:w="1016" w:type="dxa"/>
            <w:vAlign w:val="center"/>
          </w:tcPr>
          <w:p w14:paraId="182B5D86">
            <w:pPr>
              <w:overflowPunct w:val="0"/>
              <w:autoSpaceDE w:val="0"/>
              <w:autoSpaceDN w:val="0"/>
              <w:spacing w:line="576" w:lineRule="exact"/>
              <w:jc w:val="center"/>
              <w:rPr>
                <w:rFonts w:ascii="宋体" w:hAnsi="宋体" w:eastAsia="宋体"/>
                <w:sz w:val="24"/>
                <w:szCs w:val="24"/>
              </w:rPr>
            </w:pPr>
            <w:r>
              <w:rPr>
                <w:rFonts w:ascii="宋体" w:hAnsi="宋体" w:eastAsia="宋体"/>
                <w:sz w:val="24"/>
                <w:szCs w:val="24"/>
              </w:rPr>
              <w:t>2020</w:t>
            </w:r>
            <w:r>
              <w:rPr>
                <w:rFonts w:hint="eastAsia" w:ascii="宋体" w:hAnsi="宋体" w:eastAsia="宋体"/>
                <w:sz w:val="24"/>
                <w:szCs w:val="24"/>
              </w:rPr>
              <w:t>年</w:t>
            </w:r>
          </w:p>
        </w:tc>
        <w:tc>
          <w:tcPr>
            <w:tcW w:w="974" w:type="dxa"/>
            <w:vAlign w:val="center"/>
          </w:tcPr>
          <w:p w14:paraId="548BD912">
            <w:pPr>
              <w:overflowPunct w:val="0"/>
              <w:autoSpaceDE w:val="0"/>
              <w:autoSpaceDN w:val="0"/>
              <w:spacing w:line="576" w:lineRule="exact"/>
              <w:jc w:val="center"/>
              <w:rPr>
                <w:rFonts w:ascii="宋体" w:hAnsi="宋体" w:eastAsia="宋体"/>
                <w:sz w:val="24"/>
                <w:szCs w:val="24"/>
              </w:rPr>
            </w:pPr>
            <w:r>
              <w:rPr>
                <w:rFonts w:hint="eastAsia" w:ascii="宋体" w:hAnsi="宋体" w:eastAsia="宋体"/>
                <w:sz w:val="24"/>
                <w:szCs w:val="24"/>
              </w:rPr>
              <w:t>合</w:t>
            </w:r>
            <w:r>
              <w:rPr>
                <w:rFonts w:ascii="宋体" w:hAnsi="宋体" w:eastAsia="宋体"/>
                <w:sz w:val="24"/>
                <w:szCs w:val="24"/>
              </w:rPr>
              <w:t xml:space="preserve">  </w:t>
            </w:r>
            <w:r>
              <w:rPr>
                <w:rFonts w:hint="eastAsia" w:ascii="宋体" w:hAnsi="宋体" w:eastAsia="宋体"/>
                <w:sz w:val="24"/>
                <w:szCs w:val="24"/>
              </w:rPr>
              <w:t>计</w:t>
            </w:r>
          </w:p>
        </w:tc>
        <w:tc>
          <w:tcPr>
            <w:tcW w:w="1348" w:type="dxa"/>
            <w:vAlign w:val="center"/>
          </w:tcPr>
          <w:p w14:paraId="0D613B9A">
            <w:pPr>
              <w:overflowPunct w:val="0"/>
              <w:autoSpaceDE w:val="0"/>
              <w:autoSpaceDN w:val="0"/>
              <w:spacing w:line="576" w:lineRule="exact"/>
              <w:jc w:val="center"/>
              <w:rPr>
                <w:rFonts w:ascii="宋体" w:hAnsi="宋体" w:eastAsia="宋体"/>
                <w:sz w:val="24"/>
                <w:szCs w:val="24"/>
              </w:rPr>
            </w:pPr>
            <w:r>
              <w:rPr>
                <w:rFonts w:hint="eastAsia" w:ascii="宋体" w:hAnsi="宋体" w:eastAsia="宋体"/>
                <w:sz w:val="24"/>
                <w:szCs w:val="24"/>
              </w:rPr>
              <w:t>备注</w:t>
            </w:r>
          </w:p>
        </w:tc>
      </w:tr>
      <w:tr w14:paraId="5E546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1430" w:type="dxa"/>
            <w:vAlign w:val="center"/>
          </w:tcPr>
          <w:p w14:paraId="419F94E6">
            <w:pPr>
              <w:overflowPunct w:val="0"/>
              <w:autoSpaceDE w:val="0"/>
              <w:autoSpaceDN w:val="0"/>
              <w:spacing w:line="576" w:lineRule="exact"/>
              <w:jc w:val="center"/>
              <w:rPr>
                <w:rFonts w:ascii="Times New Roman" w:hAnsi="Times New Roman" w:eastAsia="仿宋"/>
                <w:sz w:val="24"/>
                <w:szCs w:val="24"/>
              </w:rPr>
            </w:pPr>
            <w:r>
              <w:rPr>
                <w:rFonts w:hint="eastAsia" w:ascii="Times New Roman" w:hAnsi="仿宋" w:eastAsia="仿宋"/>
                <w:sz w:val="24"/>
                <w:szCs w:val="24"/>
              </w:rPr>
              <w:t>矿</w:t>
            </w:r>
            <w:r>
              <w:rPr>
                <w:rFonts w:ascii="Times New Roman" w:hAnsi="Times New Roman" w:eastAsia="仿宋"/>
                <w:sz w:val="24"/>
                <w:szCs w:val="24"/>
              </w:rPr>
              <w:t xml:space="preserve">  </w:t>
            </w:r>
            <w:r>
              <w:rPr>
                <w:rFonts w:hint="eastAsia" w:ascii="Times New Roman" w:hAnsi="仿宋" w:eastAsia="仿宋"/>
                <w:sz w:val="24"/>
                <w:szCs w:val="24"/>
              </w:rPr>
              <w:t>震</w:t>
            </w:r>
          </w:p>
        </w:tc>
        <w:tc>
          <w:tcPr>
            <w:tcW w:w="986" w:type="dxa"/>
            <w:vAlign w:val="center"/>
          </w:tcPr>
          <w:p w14:paraId="34D4822B">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803</w:t>
            </w:r>
          </w:p>
        </w:tc>
        <w:tc>
          <w:tcPr>
            <w:tcW w:w="1079" w:type="dxa"/>
            <w:vAlign w:val="center"/>
          </w:tcPr>
          <w:p w14:paraId="32F4E337">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639</w:t>
            </w:r>
          </w:p>
        </w:tc>
        <w:tc>
          <w:tcPr>
            <w:tcW w:w="1102" w:type="dxa"/>
            <w:vAlign w:val="center"/>
          </w:tcPr>
          <w:p w14:paraId="38827FBA">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229</w:t>
            </w:r>
          </w:p>
        </w:tc>
        <w:tc>
          <w:tcPr>
            <w:tcW w:w="962" w:type="dxa"/>
            <w:vAlign w:val="center"/>
          </w:tcPr>
          <w:p w14:paraId="48F846DA">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209</w:t>
            </w:r>
          </w:p>
        </w:tc>
        <w:tc>
          <w:tcPr>
            <w:tcW w:w="1016" w:type="dxa"/>
            <w:vAlign w:val="center"/>
          </w:tcPr>
          <w:p w14:paraId="7FFC0579">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104</w:t>
            </w:r>
          </w:p>
        </w:tc>
        <w:tc>
          <w:tcPr>
            <w:tcW w:w="974" w:type="dxa"/>
            <w:vAlign w:val="center"/>
          </w:tcPr>
          <w:p w14:paraId="7544F5EE">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1984</w:t>
            </w:r>
          </w:p>
        </w:tc>
        <w:tc>
          <w:tcPr>
            <w:tcW w:w="1348" w:type="dxa"/>
            <w:vAlign w:val="center"/>
          </w:tcPr>
          <w:p w14:paraId="4890B67C">
            <w:pPr>
              <w:overflowPunct w:val="0"/>
              <w:autoSpaceDE w:val="0"/>
              <w:autoSpaceDN w:val="0"/>
              <w:spacing w:line="576" w:lineRule="exact"/>
              <w:jc w:val="center"/>
              <w:rPr>
                <w:rFonts w:ascii="仿宋_GB2312" w:hAnsi="Times New Roman" w:eastAsia="仿宋_GB2312"/>
                <w:sz w:val="24"/>
                <w:szCs w:val="24"/>
              </w:rPr>
            </w:pPr>
          </w:p>
        </w:tc>
      </w:tr>
      <w:tr w14:paraId="4CFCD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trPr>
        <w:tc>
          <w:tcPr>
            <w:tcW w:w="1430" w:type="dxa"/>
            <w:vAlign w:val="center"/>
          </w:tcPr>
          <w:p w14:paraId="1E3D23AD">
            <w:pPr>
              <w:overflowPunct w:val="0"/>
              <w:autoSpaceDE w:val="0"/>
              <w:autoSpaceDN w:val="0"/>
              <w:spacing w:line="576" w:lineRule="exact"/>
              <w:jc w:val="center"/>
              <w:rPr>
                <w:rFonts w:ascii="Times New Roman" w:hAnsi="Times New Roman" w:eastAsia="仿宋"/>
                <w:sz w:val="24"/>
                <w:szCs w:val="24"/>
              </w:rPr>
            </w:pPr>
            <w:r>
              <w:rPr>
                <w:rFonts w:hint="eastAsia" w:ascii="Times New Roman" w:hAnsi="仿宋" w:eastAsia="仿宋"/>
                <w:sz w:val="24"/>
                <w:szCs w:val="24"/>
              </w:rPr>
              <w:t>地方震</w:t>
            </w:r>
          </w:p>
          <w:p w14:paraId="79798C81">
            <w:pPr>
              <w:overflowPunct w:val="0"/>
              <w:autoSpaceDE w:val="0"/>
              <w:autoSpaceDN w:val="0"/>
              <w:spacing w:line="576" w:lineRule="exact"/>
              <w:jc w:val="center"/>
              <w:rPr>
                <w:rFonts w:ascii="Times New Roman" w:hAnsi="Times New Roman" w:eastAsia="仿宋"/>
                <w:sz w:val="24"/>
                <w:szCs w:val="24"/>
              </w:rPr>
            </w:pPr>
            <w:r>
              <w:rPr>
                <w:rFonts w:hint="eastAsia" w:ascii="Times New Roman" w:hAnsi="仿宋" w:eastAsia="仿宋"/>
                <w:sz w:val="24"/>
                <w:szCs w:val="24"/>
              </w:rPr>
              <w:t>（距阜新地震台</w:t>
            </w:r>
            <w:r>
              <w:rPr>
                <w:rFonts w:ascii="Times New Roman" w:hAnsi="Times New Roman" w:eastAsia="仿宋"/>
                <w:sz w:val="24"/>
                <w:szCs w:val="24"/>
              </w:rPr>
              <w:t>≤100</w:t>
            </w:r>
            <w:r>
              <w:rPr>
                <w:rFonts w:hint="eastAsia" w:ascii="Times New Roman" w:hAnsi="仿宋" w:eastAsia="仿宋"/>
                <w:sz w:val="24"/>
                <w:szCs w:val="24"/>
              </w:rPr>
              <w:t>公里）</w:t>
            </w:r>
          </w:p>
        </w:tc>
        <w:tc>
          <w:tcPr>
            <w:tcW w:w="986" w:type="dxa"/>
            <w:vAlign w:val="center"/>
          </w:tcPr>
          <w:p w14:paraId="0A2393B7">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31</w:t>
            </w:r>
          </w:p>
        </w:tc>
        <w:tc>
          <w:tcPr>
            <w:tcW w:w="1079" w:type="dxa"/>
            <w:vAlign w:val="center"/>
          </w:tcPr>
          <w:p w14:paraId="1C1ABE98">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47</w:t>
            </w:r>
          </w:p>
        </w:tc>
        <w:tc>
          <w:tcPr>
            <w:tcW w:w="1102" w:type="dxa"/>
            <w:vAlign w:val="center"/>
          </w:tcPr>
          <w:p w14:paraId="4A8DAA9F">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32</w:t>
            </w:r>
          </w:p>
        </w:tc>
        <w:tc>
          <w:tcPr>
            <w:tcW w:w="962" w:type="dxa"/>
            <w:vAlign w:val="center"/>
          </w:tcPr>
          <w:p w14:paraId="1E8FCD4C">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38</w:t>
            </w:r>
          </w:p>
        </w:tc>
        <w:tc>
          <w:tcPr>
            <w:tcW w:w="1016" w:type="dxa"/>
            <w:vAlign w:val="center"/>
          </w:tcPr>
          <w:p w14:paraId="48EC145C">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22</w:t>
            </w:r>
          </w:p>
        </w:tc>
        <w:tc>
          <w:tcPr>
            <w:tcW w:w="974" w:type="dxa"/>
            <w:vAlign w:val="center"/>
          </w:tcPr>
          <w:p w14:paraId="0CE72DE3">
            <w:pPr>
              <w:overflowPunct w:val="0"/>
              <w:autoSpaceDE w:val="0"/>
              <w:autoSpaceDN w:val="0"/>
              <w:spacing w:line="576" w:lineRule="exact"/>
              <w:jc w:val="center"/>
              <w:rPr>
                <w:rFonts w:ascii="仿宋_GB2312" w:hAnsi="Times New Roman" w:eastAsia="仿宋_GB2312"/>
                <w:sz w:val="24"/>
                <w:szCs w:val="24"/>
              </w:rPr>
            </w:pPr>
            <w:r>
              <w:rPr>
                <w:rFonts w:ascii="仿宋_GB2312" w:hAnsi="Times New Roman" w:eastAsia="仿宋_GB2312"/>
                <w:sz w:val="24"/>
                <w:szCs w:val="24"/>
              </w:rPr>
              <w:t>170</w:t>
            </w:r>
          </w:p>
        </w:tc>
        <w:tc>
          <w:tcPr>
            <w:tcW w:w="1348" w:type="dxa"/>
            <w:vAlign w:val="center"/>
          </w:tcPr>
          <w:p w14:paraId="5B68B612">
            <w:pPr>
              <w:overflowPunct w:val="0"/>
              <w:autoSpaceDE w:val="0"/>
              <w:autoSpaceDN w:val="0"/>
              <w:spacing w:line="576" w:lineRule="exact"/>
              <w:jc w:val="center"/>
              <w:rPr>
                <w:rFonts w:ascii="仿宋_GB2312" w:hAnsi="Times New Roman" w:eastAsia="仿宋_GB2312"/>
                <w:sz w:val="24"/>
                <w:szCs w:val="24"/>
              </w:rPr>
            </w:pPr>
          </w:p>
        </w:tc>
      </w:tr>
    </w:tbl>
    <w:p w14:paraId="183B95DE">
      <w:pPr>
        <w:shd w:val="clear" w:color="auto" w:fill="FFFFFF"/>
        <w:overflowPunct w:val="0"/>
        <w:autoSpaceDE w:val="0"/>
        <w:autoSpaceDN w:val="0"/>
        <w:snapToGrid w:val="0"/>
        <w:spacing w:line="576" w:lineRule="exact"/>
        <w:ind w:firstLine="640" w:firstLineChars="200"/>
        <w:rPr>
          <w:rFonts w:ascii="仿宋_GB2312" w:hAnsi="Times New Roman" w:eastAsia="仿宋_GB2312"/>
          <w:sz w:val="32"/>
          <w:szCs w:val="32"/>
        </w:rPr>
      </w:pPr>
      <w:r>
        <w:rPr>
          <w:rFonts w:hint="eastAsia" w:ascii="Times New Roman" w:hAnsi="Times New Roman" w:eastAsia="仿宋_GB2312"/>
          <w:kern w:val="0"/>
          <w:sz w:val="32"/>
          <w:szCs w:val="32"/>
        </w:rPr>
        <w:t>加快我市农村社会保险体系建设，</w:t>
      </w:r>
      <w:r>
        <w:rPr>
          <w:rFonts w:hint="eastAsia" w:ascii="Times New Roman" w:hAnsi="Times New Roman" w:eastAsia="仿宋_GB2312"/>
          <w:color w:val="000000"/>
          <w:sz w:val="32"/>
          <w:szCs w:val="32"/>
        </w:rPr>
        <w:t>稳妥推进农村住房保险，</w:t>
      </w: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期间，</w:t>
      </w:r>
      <w:r>
        <w:rPr>
          <w:rFonts w:hint="eastAsia" w:ascii="Times New Roman" w:hAnsi="Times New Roman" w:eastAsia="仿宋_GB2312"/>
          <w:spacing w:val="6"/>
          <w:sz w:val="32"/>
          <w:szCs w:val="32"/>
        </w:rPr>
        <w:t>全</w:t>
      </w:r>
      <w:r>
        <w:rPr>
          <w:rFonts w:hint="eastAsia" w:ascii="仿宋_GB2312" w:hAnsi="Times New Roman" w:eastAsia="仿宋_GB2312"/>
          <w:spacing w:val="6"/>
          <w:sz w:val="32"/>
          <w:szCs w:val="32"/>
        </w:rPr>
        <w:t>市共有</w:t>
      </w:r>
      <w:r>
        <w:rPr>
          <w:rFonts w:ascii="仿宋_GB2312" w:hAnsi="Times New Roman" w:eastAsia="仿宋_GB2312"/>
          <w:spacing w:val="6"/>
          <w:sz w:val="32"/>
          <w:szCs w:val="32"/>
        </w:rPr>
        <w:t>184694</w:t>
      </w:r>
      <w:r>
        <w:rPr>
          <w:rFonts w:hint="eastAsia" w:ascii="仿宋_GB2312" w:hAnsi="Times New Roman" w:eastAsia="仿宋_GB2312"/>
          <w:spacing w:val="6"/>
          <w:sz w:val="32"/>
          <w:szCs w:val="32"/>
        </w:rPr>
        <w:t>户居民参加了农房保险，因灾理赔案件</w:t>
      </w:r>
      <w:r>
        <w:rPr>
          <w:rFonts w:ascii="仿宋_GB2312" w:hAnsi="Times New Roman" w:eastAsia="仿宋_GB2312"/>
          <w:spacing w:val="6"/>
          <w:sz w:val="32"/>
          <w:szCs w:val="32"/>
        </w:rPr>
        <w:t>206</w:t>
      </w:r>
      <w:r>
        <w:rPr>
          <w:rFonts w:hint="eastAsia" w:ascii="仿宋_GB2312" w:hAnsi="Times New Roman" w:eastAsia="仿宋_GB2312"/>
          <w:spacing w:val="6"/>
          <w:sz w:val="32"/>
          <w:szCs w:val="32"/>
        </w:rPr>
        <w:t>起，累计赔付资金</w:t>
      </w:r>
      <w:r>
        <w:rPr>
          <w:rFonts w:ascii="仿宋_GB2312" w:hAnsi="Times New Roman" w:eastAsia="仿宋_GB2312"/>
          <w:spacing w:val="6"/>
          <w:sz w:val="32"/>
          <w:szCs w:val="32"/>
        </w:rPr>
        <w:t>67</w:t>
      </w:r>
      <w:r>
        <w:rPr>
          <w:rFonts w:hint="eastAsia" w:ascii="仿宋_GB2312" w:hAnsi="Times New Roman" w:eastAsia="仿宋_GB2312"/>
          <w:spacing w:val="6"/>
          <w:sz w:val="32"/>
          <w:szCs w:val="32"/>
        </w:rPr>
        <w:t>万元。</w:t>
      </w:r>
    </w:p>
    <w:p w14:paraId="270C04AB">
      <w:pPr>
        <w:overflowPunct w:val="0"/>
        <w:autoSpaceDE w:val="0"/>
        <w:autoSpaceDN w:val="0"/>
        <w:spacing w:line="576" w:lineRule="exact"/>
        <w:ind w:firstLine="640" w:firstLineChars="200"/>
        <w:rPr>
          <w:rFonts w:ascii="Times New Roman" w:hAnsi="Times New Roman" w:eastAsia="楷体_GB2312"/>
          <w:sz w:val="32"/>
          <w:szCs w:val="32"/>
        </w:rPr>
      </w:pPr>
      <w:r>
        <w:rPr>
          <w:rFonts w:hint="eastAsia" w:ascii="Times New Roman" w:hAnsi="Times New Roman" w:eastAsia="楷体_GB2312"/>
          <w:sz w:val="32"/>
          <w:szCs w:val="32"/>
        </w:rPr>
        <w:t>（三）应急救援体系更加完善，自然灾害应急处置能力进一步提高</w:t>
      </w:r>
    </w:p>
    <w:p w14:paraId="72136F39">
      <w:pPr>
        <w:overflowPunct w:val="0"/>
        <w:autoSpaceDE w:val="0"/>
        <w:autoSpaceDN w:val="0"/>
        <w:spacing w:line="576" w:lineRule="exact"/>
        <w:ind w:firstLine="640" w:firstLineChars="200"/>
        <w:rPr>
          <w:rFonts w:ascii="Times New Roman" w:hAnsi="Times New Roman" w:eastAsia="仿宋_GB2312"/>
          <w:sz w:val="32"/>
          <w:szCs w:val="32"/>
        </w:rPr>
      </w:pPr>
      <w:r>
        <w:rPr>
          <w:rFonts w:hint="eastAsia" w:ascii="仿宋_GB2312" w:hAnsi="Times New Roman" w:eastAsia="仿宋_GB2312"/>
          <w:sz w:val="32"/>
          <w:szCs w:val="32"/>
        </w:rPr>
        <w:t>“十三五”时期，应对</w:t>
      </w:r>
      <w:r>
        <w:rPr>
          <w:rFonts w:ascii="仿宋_GB2312" w:hAnsi="Times New Roman" w:eastAsia="仿宋_GB2312"/>
          <w:sz w:val="32"/>
          <w:szCs w:val="32"/>
        </w:rPr>
        <w:t>2016</w:t>
      </w:r>
      <w:r>
        <w:rPr>
          <w:rFonts w:hint="eastAsia" w:ascii="仿宋_GB2312" w:hAnsi="Times New Roman" w:eastAsia="仿宋_GB2312"/>
          <w:sz w:val="32"/>
          <w:szCs w:val="32"/>
        </w:rPr>
        <w:t>年</w:t>
      </w:r>
      <w:r>
        <w:rPr>
          <w:rFonts w:hint="eastAsia" w:ascii="仿宋_GB2312" w:hAnsi="Times New Roman" w:eastAsia="仿宋_GB2312"/>
          <w:color w:val="000000"/>
          <w:sz w:val="32"/>
          <w:szCs w:val="32"/>
        </w:rPr>
        <w:t>“</w:t>
      </w:r>
      <w:r>
        <w:rPr>
          <w:rFonts w:ascii="仿宋_GB2312" w:hAnsi="Times New Roman" w:eastAsia="仿宋_GB2312"/>
          <w:color w:val="000000"/>
          <w:sz w:val="32"/>
          <w:szCs w:val="32"/>
        </w:rPr>
        <w:t>5</w:t>
      </w:r>
      <w:r>
        <w:rPr>
          <w:rFonts w:hint="eastAsia" w:ascii="仿宋_GB2312" w:hAnsi="Times New Roman" w:eastAsia="仿宋_GB2312"/>
          <w:color w:val="000000"/>
          <w:sz w:val="32"/>
          <w:szCs w:val="32"/>
        </w:rPr>
        <w:t>·</w:t>
      </w:r>
      <w:r>
        <w:rPr>
          <w:rFonts w:ascii="仿宋_GB2312" w:hAnsi="Times New Roman" w:eastAsia="仿宋_GB2312"/>
          <w:color w:val="000000"/>
          <w:sz w:val="32"/>
          <w:szCs w:val="32"/>
        </w:rPr>
        <w:t>3</w:t>
      </w:r>
      <w:r>
        <w:rPr>
          <w:rFonts w:hint="eastAsia" w:ascii="仿宋_GB2312" w:hAnsi="Times New Roman" w:eastAsia="仿宋_GB2312"/>
          <w:color w:val="000000"/>
          <w:sz w:val="32"/>
          <w:szCs w:val="32"/>
        </w:rPr>
        <w:t>”风雹和“</w:t>
      </w:r>
      <w:r>
        <w:rPr>
          <w:rFonts w:ascii="仿宋_GB2312" w:hAnsi="Times New Roman" w:eastAsia="仿宋_GB2312"/>
          <w:color w:val="000000"/>
          <w:sz w:val="32"/>
          <w:szCs w:val="32"/>
        </w:rPr>
        <w:t>7.25</w:t>
      </w:r>
      <w:r>
        <w:rPr>
          <w:rFonts w:hint="eastAsia" w:ascii="仿宋_GB2312" w:hAnsi="Times New Roman" w:eastAsia="仿宋_GB2312"/>
          <w:color w:val="000000"/>
          <w:sz w:val="32"/>
          <w:szCs w:val="32"/>
        </w:rPr>
        <w:t>”洪涝</w:t>
      </w:r>
      <w:r>
        <w:rPr>
          <w:rFonts w:hint="eastAsia" w:ascii="仿宋_GB2312" w:hAnsi="Times New Roman" w:eastAsia="仿宋_GB2312"/>
          <w:sz w:val="32"/>
          <w:szCs w:val="32"/>
        </w:rPr>
        <w:t>、</w:t>
      </w:r>
      <w:r>
        <w:rPr>
          <w:rFonts w:ascii="仿宋_GB2312" w:hAnsi="Times New Roman" w:eastAsia="仿宋_GB2312"/>
          <w:color w:val="000000"/>
          <w:sz w:val="32"/>
          <w:szCs w:val="32"/>
        </w:rPr>
        <w:t>2019</w:t>
      </w:r>
      <w:r>
        <w:rPr>
          <w:rFonts w:hint="eastAsia" w:ascii="仿宋_GB2312" w:hAnsi="Times New Roman" w:eastAsia="仿宋_GB2312"/>
          <w:color w:val="000000"/>
          <w:sz w:val="32"/>
          <w:szCs w:val="32"/>
        </w:rPr>
        <w:t>年</w:t>
      </w:r>
      <w:r>
        <w:rPr>
          <w:rFonts w:hint="eastAsia" w:ascii="仿宋_GB2312" w:hAnsi="Times New Roman" w:eastAsia="仿宋_GB2312"/>
          <w:sz w:val="32"/>
          <w:szCs w:val="32"/>
        </w:rPr>
        <w:t>台风“利奇马”</w:t>
      </w:r>
      <w:r>
        <w:rPr>
          <w:rFonts w:hint="eastAsia" w:ascii="仿宋_GB2312" w:hAnsi="Times New Roman" w:eastAsia="仿宋_GB2312"/>
          <w:color w:val="000000"/>
          <w:sz w:val="32"/>
          <w:szCs w:val="32"/>
        </w:rPr>
        <w:t>、</w:t>
      </w:r>
      <w:r>
        <w:rPr>
          <w:rFonts w:ascii="仿宋_GB2312" w:hAnsi="Times New Roman" w:eastAsia="仿宋_GB2312"/>
          <w:color w:val="000000"/>
          <w:sz w:val="32"/>
          <w:szCs w:val="32"/>
        </w:rPr>
        <w:t>2020</w:t>
      </w:r>
      <w:r>
        <w:rPr>
          <w:rFonts w:hint="eastAsia" w:ascii="仿宋_GB2312" w:hAnsi="Times New Roman" w:eastAsia="仿宋_GB2312"/>
          <w:color w:val="000000"/>
          <w:sz w:val="32"/>
          <w:szCs w:val="32"/>
        </w:rPr>
        <w:t>年</w:t>
      </w:r>
      <w:r>
        <w:rPr>
          <w:rFonts w:hint="eastAsia" w:ascii="仿宋_GB2312" w:hAnsi="Times New Roman" w:eastAsia="仿宋_GB2312"/>
          <w:sz w:val="32"/>
          <w:szCs w:val="32"/>
        </w:rPr>
        <w:t>重大旱灾等灾情及</w:t>
      </w:r>
      <w:r>
        <w:rPr>
          <w:rFonts w:ascii="仿宋_GB2312" w:hAnsi="Times New Roman" w:eastAsia="仿宋_GB2312"/>
          <w:color w:val="000000"/>
          <w:kern w:val="0"/>
          <w:sz w:val="32"/>
          <w:szCs w:val="32"/>
        </w:rPr>
        <w:t>2017</w:t>
      </w:r>
      <w:r>
        <w:rPr>
          <w:rFonts w:hint="eastAsia" w:ascii="仿宋_GB2312" w:hAnsi="仿宋_GB2312" w:eastAsia="仿宋_GB2312"/>
          <w:color w:val="000000"/>
          <w:kern w:val="0"/>
          <w:sz w:val="32"/>
          <w:szCs w:val="32"/>
        </w:rPr>
        <w:t>年</w:t>
      </w:r>
      <w:r>
        <w:rPr>
          <w:rFonts w:hint="eastAsia" w:ascii="仿宋_GB2312" w:hAnsi="仿宋_GB2312" w:eastAsia="仿宋_GB2312"/>
          <w:sz w:val="32"/>
          <w:szCs w:val="32"/>
        </w:rPr>
        <w:t>清河门区万达煤矿</w:t>
      </w:r>
      <w:r>
        <w:rPr>
          <w:rFonts w:hint="eastAsia" w:ascii="仿宋_GB2312" w:hAnsi="Times New Roman" w:eastAsia="仿宋_GB2312"/>
          <w:sz w:val="32"/>
          <w:szCs w:val="32"/>
        </w:rPr>
        <w:t>“</w:t>
      </w:r>
      <w:r>
        <w:rPr>
          <w:rFonts w:ascii="仿宋_GB2312" w:hAnsi="Times New Roman" w:eastAsia="仿宋_GB2312"/>
          <w:sz w:val="32"/>
          <w:szCs w:val="32"/>
        </w:rPr>
        <w:t>10.18</w:t>
      </w:r>
      <w:r>
        <w:rPr>
          <w:rFonts w:hint="eastAsia" w:ascii="仿宋_GB2312" w:hAnsi="Times New Roman" w:eastAsia="仿宋_GB2312"/>
          <w:sz w:val="32"/>
          <w:szCs w:val="32"/>
        </w:rPr>
        <w:t>”</w:t>
      </w:r>
      <w:r>
        <w:rPr>
          <w:rFonts w:hint="eastAsia" w:ascii="仿宋_GB2312" w:hAnsi="仿宋_GB2312" w:eastAsia="仿宋_GB2312"/>
          <w:sz w:val="32"/>
          <w:szCs w:val="32"/>
        </w:rPr>
        <w:t>透水事故、</w:t>
      </w:r>
      <w:r>
        <w:rPr>
          <w:rFonts w:ascii="仿宋_GB2312" w:hAnsi="Times New Roman" w:eastAsia="仿宋_GB2312"/>
          <w:sz w:val="32"/>
          <w:szCs w:val="32"/>
        </w:rPr>
        <w:t>2020</w:t>
      </w:r>
      <w:r>
        <w:rPr>
          <w:rFonts w:hint="eastAsia" w:ascii="仿宋_GB2312" w:hAnsi="仿宋_GB2312" w:eastAsia="仿宋_GB2312"/>
          <w:sz w:val="32"/>
          <w:szCs w:val="32"/>
        </w:rPr>
        <w:t>年辽宁</w:t>
      </w:r>
      <w:r>
        <w:rPr>
          <w:rFonts w:hint="eastAsia" w:ascii="仿宋_GB2312" w:hAnsi="仿宋_GB2312" w:eastAsia="仿宋_GB2312"/>
          <w:color w:val="333333"/>
          <w:sz w:val="32"/>
          <w:szCs w:val="32"/>
        </w:rPr>
        <w:t>阜新氟产业开发区碧波</w:t>
      </w:r>
      <w:r>
        <w:fldChar w:fldCharType="begin"/>
      </w:r>
      <w:r>
        <w:instrText xml:space="preserve"> HYPERLINK "http://www.h2o-china.com/news/search?stype=title&amp;schv=%E6%B1%A1%E6%B0%B4%E5%A4%84%E7%90%86" </w:instrText>
      </w:r>
      <w:r>
        <w:fldChar w:fldCharType="separate"/>
      </w:r>
      <w:r>
        <w:rPr>
          <w:rStyle w:val="12"/>
          <w:rFonts w:hint="eastAsia" w:ascii="仿宋_GB2312" w:hAnsi="仿宋_GB2312" w:eastAsia="仿宋_GB2312"/>
          <w:color w:val="000000"/>
          <w:sz w:val="32"/>
          <w:szCs w:val="32"/>
        </w:rPr>
        <w:t>污水处理</w:t>
      </w:r>
      <w:r>
        <w:rPr>
          <w:rStyle w:val="12"/>
          <w:rFonts w:hint="eastAsia" w:ascii="仿宋_GB2312" w:hAnsi="仿宋_GB2312" w:eastAsia="仿宋_GB2312"/>
          <w:color w:val="000000"/>
          <w:sz w:val="32"/>
          <w:szCs w:val="32"/>
        </w:rPr>
        <w:fldChar w:fldCharType="end"/>
      </w:r>
      <w:r>
        <w:rPr>
          <w:rFonts w:hint="eastAsia" w:ascii="仿宋_GB2312" w:hAnsi="仿宋_GB2312" w:eastAsia="仿宋_GB2312"/>
          <w:color w:val="000000"/>
          <w:sz w:val="32"/>
          <w:szCs w:val="32"/>
        </w:rPr>
        <w:t>厂</w:t>
      </w:r>
      <w:r>
        <w:rPr>
          <w:rFonts w:hint="eastAsia" w:ascii="仿宋_GB2312" w:hAnsi="Times New Roman" w:eastAsia="仿宋_GB2312"/>
          <w:color w:val="000000"/>
          <w:spacing w:val="-20"/>
          <w:sz w:val="32"/>
          <w:szCs w:val="32"/>
        </w:rPr>
        <w:t>“</w:t>
      </w:r>
      <w:r>
        <w:rPr>
          <w:rFonts w:ascii="仿宋_GB2312" w:hAnsi="Times New Roman" w:eastAsia="仿宋_GB2312"/>
          <w:color w:val="000000"/>
          <w:spacing w:val="-20"/>
          <w:sz w:val="32"/>
          <w:szCs w:val="32"/>
        </w:rPr>
        <w:t>7</w:t>
      </w:r>
      <w:r>
        <w:rPr>
          <w:rFonts w:hint="eastAsia" w:ascii="仿宋_GB2312" w:hAnsi="Times New Roman" w:eastAsia="仿宋_GB2312"/>
          <w:color w:val="000000"/>
          <w:spacing w:val="-20"/>
          <w:sz w:val="32"/>
          <w:szCs w:val="32"/>
        </w:rPr>
        <w:t>·</w:t>
      </w:r>
      <w:r>
        <w:rPr>
          <w:rFonts w:ascii="仿宋_GB2312" w:hAnsi="Times New Roman" w:eastAsia="仿宋_GB2312"/>
          <w:color w:val="000000"/>
          <w:spacing w:val="-20"/>
          <w:sz w:val="32"/>
          <w:szCs w:val="32"/>
        </w:rPr>
        <w:t>11</w:t>
      </w:r>
      <w:r>
        <w:rPr>
          <w:rFonts w:hint="eastAsia" w:ascii="仿宋_GB2312" w:hAnsi="Times New Roman" w:eastAsia="仿宋_GB2312"/>
          <w:color w:val="000000"/>
          <w:spacing w:val="-20"/>
          <w:sz w:val="32"/>
          <w:szCs w:val="32"/>
        </w:rPr>
        <w:t>”</w:t>
      </w:r>
      <w:r>
        <w:rPr>
          <w:rFonts w:hint="eastAsia" w:ascii="仿宋_GB2312" w:hAnsi="仿宋_GB2312" w:eastAsia="仿宋_GB2312"/>
          <w:color w:val="000000"/>
          <w:sz w:val="32"/>
          <w:szCs w:val="32"/>
        </w:rPr>
        <w:t>一般</w:t>
      </w:r>
      <w:r>
        <w:rPr>
          <w:rFonts w:hint="eastAsia" w:ascii="仿宋_GB2312" w:hAnsi="仿宋_GB2312" w:eastAsia="仿宋_GB2312"/>
          <w:color w:val="333333"/>
          <w:sz w:val="32"/>
          <w:szCs w:val="32"/>
        </w:rPr>
        <w:t>爆炸事故</w:t>
      </w:r>
      <w:r>
        <w:rPr>
          <w:rFonts w:hint="eastAsia" w:ascii="仿宋_GB2312" w:hAnsi="仿宋_GB2312" w:eastAsia="仿宋_GB2312"/>
          <w:sz w:val="32"/>
          <w:szCs w:val="32"/>
        </w:rPr>
        <w:t>等生产安全领域事故引发的次生灾害，</w:t>
      </w:r>
      <w:r>
        <w:rPr>
          <w:rFonts w:hint="eastAsia" w:ascii="仿宋_GB2312" w:hAnsi="Times New Roman" w:eastAsia="仿宋_GB2312"/>
          <w:sz w:val="32"/>
          <w:szCs w:val="32"/>
        </w:rPr>
        <w:t>及时启动了灾害应急响应，按照自然灾害应急预案，完善抢险救援、紧急转移、临时安置等</w:t>
      </w:r>
      <w:r>
        <w:rPr>
          <w:rFonts w:hint="eastAsia" w:ascii="Times New Roman" w:hAnsi="Times New Roman" w:eastAsia="仿宋_GB2312"/>
          <w:sz w:val="32"/>
          <w:szCs w:val="32"/>
        </w:rPr>
        <w:t>工作机制，妥善处理了各种</w:t>
      </w:r>
      <w:r>
        <w:rPr>
          <w:rFonts w:hint="eastAsia" w:ascii="Times New Roman" w:hAnsi="Times New Roman" w:eastAsia="仿宋_GB2312"/>
          <w:color w:val="000000"/>
          <w:kern w:val="0"/>
          <w:sz w:val="32"/>
          <w:szCs w:val="32"/>
        </w:rPr>
        <w:t>重特大自然灾害，最大程度减轻了灾害损失，维护了社会和谐稳定。</w:t>
      </w:r>
      <w:r>
        <w:rPr>
          <w:rFonts w:hint="eastAsia" w:ascii="Times New Roman" w:hAnsi="Times New Roman" w:eastAsia="仿宋_GB2312"/>
          <w:sz w:val="32"/>
          <w:szCs w:val="32"/>
        </w:rPr>
        <w:t>落实救灾物资的采购、调拨、储备等相关制度，建立健全应急物资的调拨和紧急配送机制，提高受灾群众转移安置和生活救助的应急物资保障能力。根据灾情实际需求科学安排抢险救援、医疗救助和生活保障等救灾人员、物资进入灾区，实现了灾害发生后，首批救灾</w:t>
      </w:r>
      <w:r>
        <w:rPr>
          <w:rFonts w:hint="eastAsia" w:ascii="仿宋_GB2312" w:hAnsi="Times New Roman" w:eastAsia="仿宋_GB2312"/>
          <w:sz w:val="32"/>
          <w:szCs w:val="32"/>
        </w:rPr>
        <w:t>物资</w:t>
      </w:r>
      <w:r>
        <w:rPr>
          <w:rFonts w:ascii="仿宋_GB2312" w:hAnsi="Times New Roman" w:eastAsia="仿宋_GB2312"/>
          <w:sz w:val="32"/>
          <w:szCs w:val="32"/>
        </w:rPr>
        <w:t>8</w:t>
      </w:r>
      <w:r>
        <w:rPr>
          <w:rFonts w:hint="eastAsia" w:ascii="仿宋_GB2312" w:hAnsi="Times New Roman" w:eastAsia="仿宋_GB2312"/>
          <w:sz w:val="32"/>
          <w:szCs w:val="32"/>
        </w:rPr>
        <w:t>小时内运抵到位，</w:t>
      </w:r>
      <w:r>
        <w:rPr>
          <w:rFonts w:ascii="仿宋_GB2312" w:hAnsi="Times New Roman" w:eastAsia="仿宋_GB2312"/>
          <w:sz w:val="32"/>
          <w:szCs w:val="32"/>
        </w:rPr>
        <w:t>12</w:t>
      </w:r>
      <w:r>
        <w:rPr>
          <w:rFonts w:hint="eastAsia" w:ascii="仿宋_GB2312" w:hAnsi="Times New Roman" w:eastAsia="仿宋_GB2312"/>
          <w:sz w:val="32"/>
          <w:szCs w:val="32"/>
        </w:rPr>
        <w:t>小时内</w:t>
      </w:r>
      <w:r>
        <w:rPr>
          <w:rFonts w:hint="eastAsia" w:ascii="Times New Roman" w:hAnsi="Times New Roman" w:eastAsia="仿宋_GB2312"/>
          <w:sz w:val="32"/>
          <w:szCs w:val="32"/>
        </w:rPr>
        <w:t>受灾群众基本生活得到初步救助，重特大灾害应急处置能力显著提升。</w:t>
      </w:r>
    </w:p>
    <w:p w14:paraId="0D9A98C2">
      <w:pPr>
        <w:overflowPunct w:val="0"/>
        <w:autoSpaceDE w:val="0"/>
        <w:autoSpaceDN w:val="0"/>
        <w:spacing w:line="576" w:lineRule="exact"/>
        <w:ind w:firstLine="640" w:firstLineChars="200"/>
        <w:rPr>
          <w:rFonts w:ascii="Times New Roman" w:hAnsi="Times New Roman" w:eastAsia="楷体_GB2312"/>
          <w:sz w:val="32"/>
          <w:szCs w:val="32"/>
        </w:rPr>
      </w:pPr>
      <w:r>
        <w:rPr>
          <w:rFonts w:hint="eastAsia" w:ascii="Times New Roman" w:hAnsi="Times New Roman" w:eastAsia="楷体_GB2312"/>
          <w:sz w:val="32"/>
          <w:szCs w:val="32"/>
        </w:rPr>
        <w:t>（四）宣传教育更加常态化，全民防灾减灾意识进一步增强</w:t>
      </w:r>
    </w:p>
    <w:p w14:paraId="147A0C60">
      <w:pPr>
        <w:overflowPunct w:val="0"/>
        <w:autoSpaceDE w:val="0"/>
        <w:autoSpaceDN w:val="0"/>
        <w:spacing w:line="576" w:lineRule="exact"/>
        <w:ind w:firstLine="640" w:firstLineChars="200"/>
        <w:rPr>
          <w:rFonts w:ascii="Times New Roman" w:hAnsi="Times New Roman" w:eastAsia="仿宋_GB2312"/>
          <w:color w:val="000000"/>
          <w:sz w:val="32"/>
          <w:szCs w:val="32"/>
        </w:rPr>
      </w:pPr>
      <w:r>
        <w:rPr>
          <w:rFonts w:hint="eastAsia" w:ascii="仿宋_GB2312" w:hAnsi="Times New Roman" w:eastAsia="仿宋_GB2312"/>
          <w:sz w:val="32"/>
          <w:szCs w:val="32"/>
        </w:rPr>
        <w:t>以“</w:t>
      </w:r>
      <w:r>
        <w:rPr>
          <w:rFonts w:ascii="仿宋_GB2312" w:hAnsi="Times New Roman" w:eastAsia="仿宋_GB2312"/>
          <w:sz w:val="32"/>
          <w:szCs w:val="32"/>
        </w:rPr>
        <w:t>5.12</w:t>
      </w:r>
      <w:r>
        <w:rPr>
          <w:rFonts w:hint="eastAsia" w:ascii="仿宋_GB2312" w:hAnsi="Times New Roman" w:eastAsia="仿宋_GB2312"/>
          <w:sz w:val="32"/>
          <w:szCs w:val="32"/>
        </w:rPr>
        <w:t>”国家防灾减灾日为契机，组织开展形式多样的科普宣教活动。“十三五”期间，全市组织开展防灾减灾主题宣传周活动</w:t>
      </w:r>
      <w:r>
        <w:rPr>
          <w:rFonts w:ascii="仿宋_GB2312" w:hAnsi="Times New Roman" w:eastAsia="仿宋_GB2312"/>
          <w:color w:val="000000"/>
          <w:sz w:val="32"/>
          <w:szCs w:val="32"/>
        </w:rPr>
        <w:t>40</w:t>
      </w:r>
      <w:r>
        <w:rPr>
          <w:rFonts w:hint="eastAsia" w:ascii="仿宋_GB2312" w:hAnsi="Times New Roman" w:eastAsia="仿宋_GB2312"/>
          <w:color w:val="000000"/>
          <w:sz w:val="32"/>
          <w:szCs w:val="32"/>
        </w:rPr>
        <w:t>次，举办现场宣传活动</w:t>
      </w:r>
      <w:r>
        <w:rPr>
          <w:rFonts w:ascii="仿宋_GB2312" w:hAnsi="Times New Roman" w:eastAsia="仿宋_GB2312"/>
          <w:color w:val="000000"/>
          <w:sz w:val="32"/>
          <w:szCs w:val="32"/>
        </w:rPr>
        <w:t>110</w:t>
      </w:r>
      <w:r>
        <w:rPr>
          <w:rFonts w:hint="eastAsia" w:ascii="仿宋_GB2312" w:hAnsi="Times New Roman" w:eastAsia="仿宋_GB2312"/>
          <w:color w:val="000000"/>
          <w:sz w:val="32"/>
          <w:szCs w:val="32"/>
        </w:rPr>
        <w:t>余场、应急预案演练</w:t>
      </w:r>
      <w:r>
        <w:rPr>
          <w:rFonts w:ascii="仿宋_GB2312" w:hAnsi="Times New Roman" w:eastAsia="仿宋_GB2312"/>
          <w:color w:val="000000"/>
          <w:sz w:val="32"/>
          <w:szCs w:val="32"/>
        </w:rPr>
        <w:t>60</w:t>
      </w:r>
      <w:r>
        <w:rPr>
          <w:rFonts w:hint="eastAsia" w:ascii="仿宋_GB2312" w:hAnsi="Times New Roman" w:eastAsia="仿宋_GB2312"/>
          <w:color w:val="000000"/>
          <w:sz w:val="32"/>
          <w:szCs w:val="32"/>
        </w:rPr>
        <w:t>多场，开展防灾减灾“</w:t>
      </w:r>
      <w:r>
        <w:rPr>
          <w:rFonts w:hint="eastAsia" w:ascii="仿宋_GB2312" w:hAnsi="Times New Roman" w:eastAsia="仿宋_GB2312"/>
          <w:sz w:val="32"/>
        </w:rPr>
        <w:t>进社区、进校园、进企业、进农村、进家庭</w:t>
      </w:r>
      <w:r>
        <w:rPr>
          <w:rFonts w:hint="eastAsia" w:ascii="仿宋_GB2312" w:hAnsi="Times New Roman" w:eastAsia="仿宋_GB2312"/>
          <w:color w:val="000000"/>
          <w:sz w:val="32"/>
          <w:szCs w:val="32"/>
        </w:rPr>
        <w:t>”活动，</w:t>
      </w:r>
      <w:r>
        <w:rPr>
          <w:rFonts w:hint="eastAsia" w:ascii="仿宋_GB2312" w:hAnsi="Times New Roman" w:eastAsia="仿宋_GB2312"/>
          <w:sz w:val="32"/>
        </w:rPr>
        <w:t>共</w:t>
      </w:r>
      <w:r>
        <w:rPr>
          <w:rFonts w:hint="eastAsia" w:ascii="仿宋_GB2312" w:hAnsi="Times New Roman" w:eastAsia="仿宋_GB2312"/>
          <w:color w:val="000000"/>
          <w:sz w:val="32"/>
          <w:szCs w:val="32"/>
        </w:rPr>
        <w:t>发放各类防灾减灾科普读物、挂图和宣传手册</w:t>
      </w:r>
      <w:r>
        <w:rPr>
          <w:rFonts w:ascii="仿宋_GB2312" w:hAnsi="Times New Roman" w:eastAsia="仿宋_GB2312"/>
          <w:color w:val="000000"/>
          <w:sz w:val="32"/>
          <w:szCs w:val="32"/>
        </w:rPr>
        <w:t>5</w:t>
      </w:r>
      <w:r>
        <w:rPr>
          <w:rFonts w:hint="eastAsia" w:ascii="仿宋_GB2312" w:hAnsi="Times New Roman" w:eastAsia="仿宋_GB2312"/>
          <w:color w:val="000000"/>
          <w:sz w:val="32"/>
          <w:szCs w:val="32"/>
        </w:rPr>
        <w:t>万多份，社</w:t>
      </w:r>
      <w:r>
        <w:rPr>
          <w:rFonts w:hint="eastAsia" w:ascii="Times New Roman" w:hAnsi="Times New Roman" w:eastAsia="仿宋_GB2312"/>
          <w:color w:val="000000"/>
          <w:sz w:val="32"/>
          <w:szCs w:val="32"/>
        </w:rPr>
        <w:t>会公众防灾减灾意识不断提高，自救互救意识和技能不断增强。</w:t>
      </w:r>
    </w:p>
    <w:p w14:paraId="09A3F7F5">
      <w:pPr>
        <w:overflowPunct w:val="0"/>
        <w:autoSpaceDE w:val="0"/>
        <w:autoSpaceDN w:val="0"/>
        <w:spacing w:line="576" w:lineRule="exact"/>
        <w:ind w:firstLine="640" w:firstLineChars="200"/>
        <w:rPr>
          <w:rFonts w:ascii="Times New Roman" w:hAnsi="Times New Roman" w:eastAsia="黑体"/>
          <w:sz w:val="32"/>
          <w:szCs w:val="32"/>
        </w:rPr>
      </w:pPr>
      <w:r>
        <w:rPr>
          <w:rFonts w:hint="eastAsia" w:ascii="Times New Roman" w:hAnsi="黑体" w:eastAsia="黑体"/>
          <w:sz w:val="32"/>
          <w:szCs w:val="32"/>
        </w:rPr>
        <w:t>二、</w:t>
      </w:r>
      <w:r>
        <w:rPr>
          <w:rFonts w:ascii="Times New Roman" w:hAnsi="Times New Roman" w:eastAsia="黑体"/>
          <w:sz w:val="32"/>
          <w:szCs w:val="32"/>
        </w:rPr>
        <w:t>“</w:t>
      </w:r>
      <w:r>
        <w:rPr>
          <w:rFonts w:hint="eastAsia" w:ascii="Times New Roman" w:hAnsi="黑体" w:eastAsia="黑体"/>
          <w:sz w:val="32"/>
          <w:szCs w:val="32"/>
        </w:rPr>
        <w:t>十四五</w:t>
      </w:r>
      <w:r>
        <w:rPr>
          <w:rFonts w:ascii="Times New Roman" w:hAnsi="Times New Roman" w:eastAsia="黑体"/>
          <w:sz w:val="32"/>
          <w:szCs w:val="32"/>
        </w:rPr>
        <w:t>”</w:t>
      </w:r>
      <w:r>
        <w:rPr>
          <w:rFonts w:hint="eastAsia" w:ascii="Times New Roman" w:hAnsi="黑体" w:eastAsia="黑体"/>
          <w:sz w:val="32"/>
          <w:szCs w:val="32"/>
        </w:rPr>
        <w:t>时期防灾减灾面临的形势与挑战</w:t>
      </w:r>
    </w:p>
    <w:p w14:paraId="2B003982">
      <w:pPr>
        <w:widowControl/>
        <w:overflowPunct w:val="0"/>
        <w:autoSpaceDE w:val="0"/>
        <w:autoSpaceDN w:val="0"/>
        <w:spacing w:line="576"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w:t>
      </w:r>
      <w:r>
        <w:rPr>
          <w:rFonts w:hint="eastAsia" w:ascii="Times New Roman" w:hAnsi="Times New Roman" w:eastAsia="仿宋_GB2312"/>
          <w:sz w:val="32"/>
          <w:szCs w:val="32"/>
        </w:rPr>
        <w:t>十四五</w:t>
      </w:r>
      <w:r>
        <w:rPr>
          <w:rFonts w:ascii="Times New Roman" w:hAnsi="Times New Roman" w:eastAsia="仿宋_GB2312"/>
          <w:sz w:val="32"/>
          <w:szCs w:val="32"/>
        </w:rPr>
        <w:t>”</w:t>
      </w:r>
      <w:r>
        <w:rPr>
          <w:rFonts w:hint="eastAsia" w:ascii="Times New Roman" w:hAnsi="Times New Roman" w:eastAsia="仿宋_GB2312"/>
          <w:sz w:val="32"/>
          <w:szCs w:val="32"/>
        </w:rPr>
        <w:t>时期是由全面建成小康社会向基本实现社会主义现代化迈进的重要时期，也是推进应急管理体系和能力现代化的关键时期，我市发生突发性重特大自然灾害和</w:t>
      </w:r>
      <w:r>
        <w:rPr>
          <w:rFonts w:hint="eastAsia" w:ascii="Times New Roman" w:hAnsi="仿宋_GB2312" w:eastAsia="仿宋_GB2312"/>
          <w:sz w:val="32"/>
          <w:szCs w:val="32"/>
        </w:rPr>
        <w:t>安全生产领域次生灾害</w:t>
      </w:r>
      <w:r>
        <w:rPr>
          <w:rFonts w:hint="eastAsia" w:ascii="Times New Roman" w:hAnsi="Times New Roman" w:eastAsia="仿宋_GB2312"/>
          <w:sz w:val="32"/>
          <w:szCs w:val="32"/>
        </w:rPr>
        <w:t>的风险仍然较高，防灾减灾救灾工作将面临诸多新形势、新任务与新挑战。</w:t>
      </w:r>
    </w:p>
    <w:p w14:paraId="4E19B9D6">
      <w:pPr>
        <w:widowControl/>
        <w:overflowPunct w:val="0"/>
        <w:autoSpaceDE w:val="0"/>
        <w:autoSpaceDN w:val="0"/>
        <w:spacing w:line="576" w:lineRule="exact"/>
        <w:ind w:firstLine="643" w:firstLineChars="200"/>
        <w:rPr>
          <w:rFonts w:ascii="Times New Roman" w:hAnsi="Times New Roman" w:eastAsia="仿宋_GB2312"/>
          <w:b/>
          <w:sz w:val="32"/>
          <w:szCs w:val="32"/>
        </w:rPr>
      </w:pPr>
      <w:r>
        <w:rPr>
          <w:rFonts w:hint="eastAsia" w:ascii="Times New Roman" w:hAnsi="Times New Roman" w:eastAsia="仿宋_GB2312"/>
          <w:b/>
          <w:sz w:val="32"/>
          <w:szCs w:val="32"/>
        </w:rPr>
        <w:t>一是灾情形势复杂严峻</w:t>
      </w:r>
    </w:p>
    <w:p w14:paraId="46510472">
      <w:pPr>
        <w:widowControl/>
        <w:overflowPunct w:val="0"/>
        <w:autoSpaceDE w:val="0"/>
        <w:autoSpaceDN w:val="0"/>
        <w:spacing w:line="576" w:lineRule="exact"/>
        <w:ind w:firstLine="640" w:firstLineChars="200"/>
        <w:rPr>
          <w:rFonts w:ascii="Times New Roman" w:hAnsi="仿宋_GB2312" w:eastAsia="仿宋_GB2312"/>
          <w:sz w:val="32"/>
          <w:szCs w:val="32"/>
        </w:rPr>
      </w:pPr>
      <w:r>
        <w:rPr>
          <w:rFonts w:hint="eastAsia" w:ascii="Times New Roman" w:hAnsi="Times New Roman" w:eastAsia="仿宋_GB2312"/>
          <w:color w:val="333333"/>
          <w:sz w:val="32"/>
          <w:szCs w:val="32"/>
        </w:rPr>
        <w:t>受全球气候变化等自然和经济社会因素耦合影响，</w:t>
      </w:r>
      <w:r>
        <w:rPr>
          <w:rFonts w:ascii="Times New Roman" w:hAnsi="Times New Roman" w:eastAsia="仿宋_GB2312"/>
          <w:color w:val="333333"/>
          <w:sz w:val="32"/>
          <w:szCs w:val="32"/>
        </w:rPr>
        <w:t>“</w:t>
      </w:r>
      <w:r>
        <w:rPr>
          <w:rFonts w:hint="eastAsia" w:ascii="Times New Roman" w:hAnsi="Times New Roman" w:eastAsia="仿宋_GB2312"/>
          <w:color w:val="333333"/>
          <w:sz w:val="32"/>
          <w:szCs w:val="32"/>
        </w:rPr>
        <w:t>十四五</w:t>
      </w:r>
      <w:r>
        <w:rPr>
          <w:rFonts w:ascii="Times New Roman" w:hAnsi="Times New Roman" w:eastAsia="仿宋_GB2312"/>
          <w:color w:val="333333"/>
          <w:sz w:val="32"/>
          <w:szCs w:val="32"/>
        </w:rPr>
        <w:t>”</w:t>
      </w:r>
      <w:r>
        <w:rPr>
          <w:rFonts w:hint="eastAsia" w:ascii="Times New Roman" w:hAnsi="Times New Roman" w:eastAsia="仿宋_GB2312"/>
          <w:color w:val="333333"/>
          <w:sz w:val="32"/>
          <w:szCs w:val="32"/>
        </w:rPr>
        <w:t>时期极端天气气候事件及其次生衍生灾害呈增加趋势，</w:t>
      </w:r>
      <w:r>
        <w:rPr>
          <w:rFonts w:hint="eastAsia" w:ascii="Times New Roman" w:hAnsi="Times New Roman" w:eastAsia="仿宋_GB2312"/>
          <w:sz w:val="32"/>
          <w:szCs w:val="32"/>
        </w:rPr>
        <w:t>洪涝、风雹、干旱、森林火灾等有增多趋势，局地性、极端性灾害发生的概率较大；</w:t>
      </w:r>
      <w:r>
        <w:rPr>
          <w:rFonts w:hint="eastAsia" w:ascii="Times New Roman" w:hAnsi="仿宋_GB2312" w:eastAsia="仿宋_GB2312"/>
          <w:sz w:val="32"/>
          <w:szCs w:val="32"/>
        </w:rPr>
        <w:t>受煤矿和非煤矿山开采影响，极易偶发矿震和地质灾害；以辽宁阜新氟产业开发区、大唐煤制天</w:t>
      </w:r>
      <w:r>
        <w:rPr>
          <w:rFonts w:hint="eastAsia" w:ascii="Times New Roman" w:hAnsi="仿宋_GB2312" w:eastAsia="仿宋_GB2312"/>
          <w:sz w:val="32"/>
          <w:szCs w:val="32"/>
          <w:lang w:val="en-US" w:eastAsia="zh-CN"/>
        </w:rPr>
        <w:t>然</w:t>
      </w:r>
      <w:bookmarkStart w:id="0" w:name="_GoBack"/>
      <w:bookmarkEnd w:id="0"/>
      <w:r>
        <w:rPr>
          <w:rFonts w:hint="eastAsia" w:ascii="Times New Roman" w:hAnsi="仿宋_GB2312" w:eastAsia="仿宋_GB2312"/>
          <w:sz w:val="32"/>
          <w:szCs w:val="32"/>
        </w:rPr>
        <w:t>气等为主的重点危险化学品生产、使用、储存、运输等环节，存在重大事故风险，极易引发次生灾害。</w:t>
      </w:r>
    </w:p>
    <w:p w14:paraId="60673B51">
      <w:pPr>
        <w:widowControl/>
        <w:overflowPunct w:val="0"/>
        <w:autoSpaceDE w:val="0"/>
        <w:autoSpaceDN w:val="0"/>
        <w:spacing w:line="576" w:lineRule="exact"/>
        <w:ind w:firstLine="643" w:firstLineChars="200"/>
        <w:rPr>
          <w:rFonts w:ascii="Times New Roman" w:hAnsi="Times New Roman" w:eastAsia="仿宋_GB2312"/>
          <w:b/>
          <w:sz w:val="32"/>
          <w:szCs w:val="32"/>
        </w:rPr>
      </w:pPr>
      <w:r>
        <w:rPr>
          <w:rFonts w:hint="eastAsia" w:ascii="Times New Roman" w:hAnsi="Times New Roman" w:eastAsia="仿宋_GB2312"/>
          <w:b/>
          <w:sz w:val="32"/>
          <w:szCs w:val="32"/>
        </w:rPr>
        <w:t>二是综合防灾减灾基础设施依然薄弱</w:t>
      </w:r>
    </w:p>
    <w:p w14:paraId="7B29F137">
      <w:pPr>
        <w:widowControl/>
        <w:overflowPunct w:val="0"/>
        <w:autoSpaceDE w:val="0"/>
        <w:autoSpaceDN w:val="0"/>
        <w:spacing w:line="576"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灾害监测预警、工程防御、物资储备、应急装备等综合防灾减灾能力建设不同程度还存在短板。</w:t>
      </w:r>
      <w:r>
        <w:rPr>
          <w:rFonts w:hint="eastAsia" w:ascii="Times New Roman" w:hAnsi="Times New Roman" w:eastAsia="仿宋_GB2312"/>
          <w:color w:val="000000"/>
          <w:kern w:val="0"/>
          <w:sz w:val="32"/>
          <w:szCs w:val="32"/>
        </w:rPr>
        <w:t>部分城乡基础设施设防标准偏低，避难场所建设滞后。应急救灾物资储备种类、数量难以满足救灾需要，救灾应急装备、技术手段、通信设施等比较落后，</w:t>
      </w:r>
      <w:r>
        <w:rPr>
          <w:rFonts w:hint="eastAsia" w:ascii="Times New Roman" w:hAnsi="Times New Roman" w:eastAsia="仿宋_GB2312"/>
          <w:sz w:val="32"/>
          <w:szCs w:val="32"/>
        </w:rPr>
        <w:t>公众防灾减灾意识和自救互助能力不足等问题依然较为突出。</w:t>
      </w:r>
    </w:p>
    <w:p w14:paraId="36C8B825">
      <w:pPr>
        <w:widowControl/>
        <w:overflowPunct w:val="0"/>
        <w:autoSpaceDE w:val="0"/>
        <w:autoSpaceDN w:val="0"/>
        <w:spacing w:line="576" w:lineRule="exact"/>
        <w:ind w:firstLine="643" w:firstLineChars="200"/>
        <w:rPr>
          <w:rFonts w:ascii="Times New Roman" w:hAnsi="Times New Roman" w:eastAsia="仿宋_GB2312"/>
          <w:b/>
          <w:sz w:val="32"/>
          <w:szCs w:val="32"/>
        </w:rPr>
      </w:pPr>
      <w:r>
        <w:rPr>
          <w:rFonts w:hint="eastAsia" w:ascii="Times New Roman" w:hAnsi="Times New Roman" w:eastAsia="仿宋_GB2312"/>
          <w:b/>
          <w:sz w:val="32"/>
          <w:szCs w:val="32"/>
        </w:rPr>
        <w:t>三是防灾减灾救灾工作尚未完全适应经济社会发展新要求</w:t>
      </w:r>
    </w:p>
    <w:p w14:paraId="3A79816E">
      <w:pPr>
        <w:widowControl/>
        <w:overflowPunct w:val="0"/>
        <w:autoSpaceDE w:val="0"/>
        <w:autoSpaceDN w:val="0"/>
        <w:spacing w:line="576" w:lineRule="exact"/>
        <w:ind w:firstLine="640" w:firstLineChars="200"/>
        <w:rPr>
          <w:rFonts w:ascii="Times New Roman" w:hAnsi="Times New Roman" w:eastAsia="仿宋_GB2312"/>
          <w:color w:val="000000"/>
          <w:kern w:val="0"/>
          <w:sz w:val="32"/>
          <w:szCs w:val="32"/>
        </w:rPr>
      </w:pPr>
      <w:r>
        <w:rPr>
          <w:rFonts w:hint="eastAsia" w:ascii="Times New Roman" w:hAnsi="Times New Roman" w:eastAsia="仿宋_GB2312"/>
          <w:sz w:val="32"/>
          <w:szCs w:val="32"/>
        </w:rPr>
        <w:t>随着社会经济发展，防灾减灾救灾多元主体作用更加突出，现有的防灾减灾体制机制</w:t>
      </w:r>
      <w:r>
        <w:rPr>
          <w:rFonts w:hint="eastAsia" w:ascii="Times New Roman" w:hAnsi="Times New Roman" w:eastAsia="仿宋_GB2312"/>
          <w:color w:val="333333"/>
          <w:sz w:val="32"/>
          <w:szCs w:val="32"/>
        </w:rPr>
        <w:t>与经济社会发展仍不完全适应，应对自然灾害</w:t>
      </w:r>
      <w:r>
        <w:rPr>
          <w:rFonts w:hint="eastAsia" w:ascii="Times New Roman" w:hAnsi="Times New Roman" w:eastAsia="仿宋_GB2312"/>
          <w:sz w:val="32"/>
          <w:szCs w:val="32"/>
        </w:rPr>
        <w:t>和</w:t>
      </w:r>
      <w:r>
        <w:rPr>
          <w:rFonts w:hint="eastAsia" w:ascii="Times New Roman" w:hAnsi="仿宋_GB2312" w:eastAsia="仿宋_GB2312"/>
          <w:sz w:val="32"/>
          <w:szCs w:val="32"/>
        </w:rPr>
        <w:t>安全生产领域次生灾害</w:t>
      </w:r>
      <w:r>
        <w:rPr>
          <w:rFonts w:hint="eastAsia" w:ascii="Times New Roman" w:hAnsi="Times New Roman" w:eastAsia="仿宋_GB2312"/>
          <w:color w:val="333333"/>
          <w:sz w:val="32"/>
          <w:szCs w:val="32"/>
        </w:rPr>
        <w:t>的综合性政策法规滞后，能力建设存在短板，</w:t>
      </w:r>
      <w:r>
        <w:rPr>
          <w:rFonts w:hint="eastAsia" w:ascii="Times New Roman" w:hAnsi="Times New Roman" w:eastAsia="仿宋_GB2312"/>
          <w:color w:val="000000"/>
          <w:kern w:val="0"/>
          <w:sz w:val="32"/>
          <w:szCs w:val="32"/>
        </w:rPr>
        <w:t>部门之间、区域之间协作机制尚需进一步完善，</w:t>
      </w:r>
      <w:r>
        <w:rPr>
          <w:rFonts w:hint="eastAsia" w:ascii="Times New Roman" w:hAnsi="Times New Roman" w:eastAsia="仿宋_GB2312"/>
          <w:color w:val="333333"/>
          <w:sz w:val="32"/>
          <w:szCs w:val="32"/>
        </w:rPr>
        <w:t>社会力量和市场机制作用尚未得到充分发挥，</w:t>
      </w:r>
      <w:r>
        <w:rPr>
          <w:rFonts w:hint="eastAsia" w:ascii="Times New Roman" w:hAnsi="Times New Roman" w:eastAsia="仿宋_GB2312"/>
          <w:color w:val="000000"/>
          <w:kern w:val="0"/>
          <w:sz w:val="32"/>
          <w:szCs w:val="32"/>
        </w:rPr>
        <w:t>防灾减灾宣传教育和培训体系亟待完善，公众防灾减灾意识和能力需进一步提高。</w:t>
      </w:r>
    </w:p>
    <w:p w14:paraId="0CD2C51B">
      <w:pPr>
        <w:widowControl/>
        <w:overflowPunct w:val="0"/>
        <w:autoSpaceDE w:val="0"/>
        <w:autoSpaceDN w:val="0"/>
        <w:spacing w:line="576" w:lineRule="exact"/>
        <w:ind w:firstLine="640" w:firstLineChars="200"/>
        <w:jc w:val="left"/>
        <w:rPr>
          <w:rFonts w:ascii="Times New Roman" w:hAnsi="Times New Roman" w:eastAsia="黑体"/>
          <w:kern w:val="10"/>
          <w:sz w:val="32"/>
          <w:szCs w:val="32"/>
        </w:rPr>
      </w:pPr>
      <w:r>
        <w:rPr>
          <w:rFonts w:hint="eastAsia" w:ascii="Times New Roman" w:hAnsi="黑体" w:eastAsia="黑体"/>
          <w:kern w:val="10"/>
          <w:sz w:val="32"/>
          <w:szCs w:val="32"/>
        </w:rPr>
        <w:t>三、总体要求</w:t>
      </w:r>
    </w:p>
    <w:p w14:paraId="1F3BBB87">
      <w:pPr>
        <w:overflowPunct w:val="0"/>
        <w:autoSpaceDE w:val="0"/>
        <w:autoSpaceDN w:val="0"/>
        <w:spacing w:line="576" w:lineRule="exact"/>
        <w:ind w:firstLine="640" w:firstLineChars="200"/>
        <w:contextualSpacing/>
        <w:rPr>
          <w:rFonts w:ascii="Times New Roman" w:hAnsi="Times New Roman" w:eastAsia="楷体_GB2312"/>
          <w:kern w:val="10"/>
          <w:sz w:val="32"/>
          <w:szCs w:val="32"/>
        </w:rPr>
      </w:pPr>
      <w:r>
        <w:rPr>
          <w:rFonts w:hint="eastAsia" w:ascii="Times New Roman" w:hAnsi="Times New Roman" w:eastAsia="楷体_GB2312"/>
          <w:kern w:val="10"/>
          <w:sz w:val="32"/>
          <w:szCs w:val="32"/>
        </w:rPr>
        <w:t>（一）指导思想</w:t>
      </w:r>
    </w:p>
    <w:p w14:paraId="1D262FF3">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kern w:val="10"/>
          <w:sz w:val="32"/>
          <w:szCs w:val="32"/>
        </w:rPr>
        <w:t>以习近平新时代中国特色社会主义思想为指导，全面贯彻党的十九大和十九届二中、三中、四中、五中全会精神，紧紧围绕统筹推进</w:t>
      </w:r>
      <w:r>
        <w:rPr>
          <w:rFonts w:ascii="Times New Roman" w:hAnsi="Times New Roman" w:eastAsia="仿宋_GB2312"/>
          <w:kern w:val="10"/>
          <w:sz w:val="32"/>
          <w:szCs w:val="32"/>
        </w:rPr>
        <w:t>“</w:t>
      </w:r>
      <w:r>
        <w:rPr>
          <w:rFonts w:hint="eastAsia" w:ascii="Times New Roman" w:hAnsi="Times New Roman" w:eastAsia="仿宋_GB2312"/>
          <w:kern w:val="10"/>
          <w:sz w:val="32"/>
          <w:szCs w:val="32"/>
        </w:rPr>
        <w:t>五位一体</w:t>
      </w:r>
      <w:r>
        <w:rPr>
          <w:rFonts w:ascii="Times New Roman" w:hAnsi="Times New Roman" w:eastAsia="仿宋_GB2312"/>
          <w:kern w:val="10"/>
          <w:sz w:val="32"/>
          <w:szCs w:val="32"/>
        </w:rPr>
        <w:t>”</w:t>
      </w:r>
      <w:r>
        <w:rPr>
          <w:rFonts w:hint="eastAsia" w:ascii="Times New Roman" w:hAnsi="Times New Roman" w:eastAsia="仿宋_GB2312"/>
          <w:kern w:val="10"/>
          <w:sz w:val="32"/>
          <w:szCs w:val="32"/>
        </w:rPr>
        <w:t>总体布局和协调推进</w:t>
      </w:r>
      <w:r>
        <w:rPr>
          <w:rFonts w:ascii="Times New Roman" w:hAnsi="Times New Roman" w:eastAsia="仿宋_GB2312"/>
          <w:kern w:val="10"/>
          <w:sz w:val="32"/>
          <w:szCs w:val="32"/>
        </w:rPr>
        <w:t>“</w:t>
      </w:r>
      <w:r>
        <w:rPr>
          <w:rFonts w:hint="eastAsia" w:ascii="Times New Roman" w:hAnsi="Times New Roman" w:eastAsia="仿宋_GB2312"/>
          <w:kern w:val="10"/>
          <w:sz w:val="32"/>
          <w:szCs w:val="32"/>
        </w:rPr>
        <w:t>四个全面</w:t>
      </w:r>
      <w:r>
        <w:rPr>
          <w:rFonts w:ascii="Times New Roman" w:hAnsi="Times New Roman" w:eastAsia="仿宋_GB2312"/>
          <w:kern w:val="10"/>
          <w:sz w:val="32"/>
          <w:szCs w:val="32"/>
        </w:rPr>
        <w:t>”</w:t>
      </w:r>
      <w:r>
        <w:rPr>
          <w:rFonts w:hint="eastAsia" w:ascii="Times New Roman" w:hAnsi="Times New Roman" w:eastAsia="仿宋_GB2312"/>
          <w:kern w:val="10"/>
          <w:sz w:val="32"/>
          <w:szCs w:val="32"/>
        </w:rPr>
        <w:t>战略布</w:t>
      </w:r>
      <w:r>
        <w:rPr>
          <w:rFonts w:hint="eastAsia" w:ascii="Times New Roman" w:hAnsi="Times New Roman" w:eastAsia="仿宋_GB2312"/>
          <w:sz w:val="32"/>
          <w:szCs w:val="32"/>
        </w:rPr>
        <w:t>局，坚持以人民为中心的发展思想，坚持以防为主、防抗救相结合，坚持常态减灾和非常态救灾相统一，注重灾后救助向灾前预防转变，从应对单一灾种向综合减灾转变，强化综合减灾、统筹抵御各种自然灾害，建立高效科学的自然灾害防治体系，提高全社会自然灾害防治能力，为保护人民群众生命财产安全和国家安全提供有力保障。</w:t>
      </w:r>
    </w:p>
    <w:p w14:paraId="0E0C927A">
      <w:pPr>
        <w:overflowPunct w:val="0"/>
        <w:autoSpaceDE w:val="0"/>
        <w:autoSpaceDN w:val="0"/>
        <w:spacing w:line="576" w:lineRule="exact"/>
        <w:ind w:firstLine="640" w:firstLineChars="200"/>
        <w:contextualSpacing/>
        <w:rPr>
          <w:rFonts w:ascii="Times New Roman" w:hAnsi="Times New Roman" w:eastAsia="楷体_GB2312"/>
          <w:kern w:val="10"/>
          <w:sz w:val="32"/>
          <w:szCs w:val="32"/>
        </w:rPr>
      </w:pPr>
      <w:r>
        <w:rPr>
          <w:rFonts w:hint="eastAsia" w:ascii="Times New Roman" w:hAnsi="Times New Roman" w:eastAsia="楷体_GB2312"/>
          <w:kern w:val="10"/>
          <w:sz w:val="32"/>
          <w:szCs w:val="32"/>
        </w:rPr>
        <w:t>（二）基本原则</w:t>
      </w:r>
    </w:p>
    <w:p w14:paraId="1A77676C">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坚持党的领导，形成各方齐抓共管、协调配合的自然灾害防治格局。明确党委和政府主体责任，</w:t>
      </w:r>
      <w:r>
        <w:rPr>
          <w:rFonts w:hint="eastAsia" w:ascii="Times New Roman" w:hAnsi="Times New Roman" w:eastAsia="仿宋_GB2312"/>
          <w:kern w:val="0"/>
          <w:sz w:val="32"/>
          <w:szCs w:val="32"/>
        </w:rPr>
        <w:t>强化党委和政府在防灾减灾救灾工作中的主体作用。主动接受省级统筹指导，实现市级统筹领导，县区就近指挥，各部门分工负责、相互协同的救灾应急机制</w:t>
      </w:r>
      <w:r>
        <w:rPr>
          <w:rFonts w:hint="eastAsia" w:ascii="Times New Roman" w:hAnsi="Times New Roman" w:eastAsia="仿宋_GB2312"/>
          <w:sz w:val="32"/>
          <w:szCs w:val="32"/>
        </w:rPr>
        <w:t>。</w:t>
      </w:r>
    </w:p>
    <w:p w14:paraId="18E09F78">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坚持以人为本，切实保护人民群众生命财产安全。统筹防范化解重大自然灾害风险，着力做好监测预警、应急准备、应急救援、生活救助等工作，切实把确保人民生命安全放在第一位落到实处。</w:t>
      </w:r>
    </w:p>
    <w:p w14:paraId="2237312E">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坚持预防为主，综合减灾。科学实施风险评估和隐患排查，加强重点防治工程建设，实现自然灾害防治能力同经济社会发展相适应。增强全民防灾减灾意识，加快补齐短板弱项。强化统筹协调，有效应对各种自然灾害。</w:t>
      </w:r>
    </w:p>
    <w:p w14:paraId="0E787DE4">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坚持改革创新，推进自然灾害防治体系和防治能力现代化。全面贯彻执行自然灾害防治等法律法规，加强应急指挥体系建设，提升自然灾害风险监测预警精准化，建设应急救援关键力量，完善灾后恢复重建体制，建立稳定的资金保障机制。</w:t>
      </w:r>
    </w:p>
    <w:p w14:paraId="10592C53">
      <w:pPr>
        <w:overflowPunct w:val="0"/>
        <w:autoSpaceDE w:val="0"/>
        <w:autoSpaceDN w:val="0"/>
        <w:spacing w:line="576" w:lineRule="exact"/>
        <w:ind w:firstLine="640" w:firstLineChars="200"/>
        <w:contextualSpacing/>
        <w:rPr>
          <w:rFonts w:ascii="Times New Roman" w:hAnsi="Times New Roman" w:eastAsia="楷体_GB2312"/>
          <w:sz w:val="32"/>
          <w:szCs w:val="32"/>
        </w:rPr>
      </w:pPr>
      <w:r>
        <w:rPr>
          <w:rFonts w:hint="eastAsia" w:ascii="Times New Roman" w:hAnsi="Times New Roman" w:eastAsia="楷体_GB2312"/>
          <w:sz w:val="32"/>
          <w:szCs w:val="32"/>
        </w:rPr>
        <w:t>（三）规划目标</w:t>
      </w:r>
    </w:p>
    <w:p w14:paraId="4CBA84CA">
      <w:pPr>
        <w:overflowPunct w:val="0"/>
        <w:autoSpaceDE w:val="0"/>
        <w:autoSpaceDN w:val="0"/>
        <w:spacing w:line="576" w:lineRule="exact"/>
        <w:ind w:firstLine="640" w:firstLineChars="200"/>
        <w:contextualSpacing/>
        <w:rPr>
          <w:rFonts w:ascii="Times New Roman" w:hAnsi="Times New Roman" w:eastAsia="仿宋_GB2312"/>
          <w:kern w:val="0"/>
          <w:sz w:val="32"/>
          <w:szCs w:val="32"/>
        </w:rPr>
      </w:pPr>
      <w:r>
        <w:rPr>
          <w:rFonts w:hint="eastAsia" w:ascii="Times New Roman" w:hAnsi="Times New Roman" w:eastAsia="仿宋_GB2312"/>
          <w:sz w:val="32"/>
          <w:szCs w:val="32"/>
        </w:rPr>
        <w:t>（</w:t>
      </w:r>
      <w:r>
        <w:rPr>
          <w:rFonts w:ascii="Times New Roman" w:hAnsi="Times New Roman" w:eastAsia="仿宋_GB2312"/>
          <w:sz w:val="32"/>
          <w:szCs w:val="32"/>
        </w:rPr>
        <w:t>1</w:t>
      </w:r>
      <w:r>
        <w:rPr>
          <w:rFonts w:hint="eastAsia" w:ascii="Times New Roman" w:hAnsi="Times New Roman" w:eastAsia="仿宋_GB2312"/>
          <w:sz w:val="32"/>
          <w:szCs w:val="32"/>
        </w:rPr>
        <w:t>）防灾减灾救灾工作纳入国民经济和社会发展总体规划，防灾减灾救灾体制机制进一步健全，</w:t>
      </w:r>
      <w:r>
        <w:rPr>
          <w:rFonts w:hint="eastAsia" w:ascii="Times New Roman" w:hAnsi="Times New Roman" w:eastAsia="仿宋_GB2312"/>
          <w:kern w:val="0"/>
          <w:sz w:val="32"/>
          <w:szCs w:val="32"/>
        </w:rPr>
        <w:t>法律法规体系进一步完善。</w:t>
      </w:r>
    </w:p>
    <w:p w14:paraId="4F3ECC37">
      <w:pPr>
        <w:overflowPunct w:val="0"/>
        <w:autoSpaceDE w:val="0"/>
        <w:autoSpaceDN w:val="0"/>
        <w:spacing w:line="576"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w:t>
      </w:r>
      <w:r>
        <w:rPr>
          <w:rFonts w:ascii="Times New Roman" w:hAnsi="Times New Roman" w:eastAsia="仿宋_GB2312"/>
          <w:sz w:val="32"/>
          <w:szCs w:val="32"/>
        </w:rPr>
        <w:t>2</w:t>
      </w:r>
      <w:r>
        <w:rPr>
          <w:rFonts w:hint="eastAsia" w:ascii="Times New Roman" w:hAnsi="Times New Roman" w:eastAsia="仿宋_GB2312"/>
          <w:sz w:val="32"/>
          <w:szCs w:val="32"/>
        </w:rPr>
        <w:t>）年均因灾直接经济损失占国内生产总值的比例控制在</w:t>
      </w:r>
      <w:r>
        <w:rPr>
          <w:rFonts w:ascii="Times New Roman" w:hAnsi="Times New Roman" w:eastAsia="仿宋_GB2312"/>
          <w:sz w:val="32"/>
          <w:szCs w:val="32"/>
        </w:rPr>
        <w:t>1%</w:t>
      </w:r>
      <w:r>
        <w:rPr>
          <w:rFonts w:hint="eastAsia" w:ascii="Times New Roman" w:hAnsi="Times New Roman" w:eastAsia="仿宋_GB2312"/>
          <w:sz w:val="32"/>
          <w:szCs w:val="32"/>
        </w:rPr>
        <w:t>以内，年均因灾死亡率控制在每百万人口</w:t>
      </w:r>
      <w:r>
        <w:rPr>
          <w:rFonts w:ascii="Times New Roman" w:hAnsi="Times New Roman" w:eastAsia="仿宋_GB2312"/>
          <w:sz w:val="32"/>
          <w:szCs w:val="32"/>
        </w:rPr>
        <w:t>1</w:t>
      </w:r>
      <w:r>
        <w:rPr>
          <w:rFonts w:hint="eastAsia" w:ascii="Times New Roman" w:hAnsi="Times New Roman" w:eastAsia="仿宋_GB2312"/>
          <w:sz w:val="32"/>
          <w:szCs w:val="32"/>
        </w:rPr>
        <w:t>人以内（比</w:t>
      </w: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期间均降低</w:t>
      </w:r>
      <w:r>
        <w:rPr>
          <w:rFonts w:ascii="Times New Roman" w:hAnsi="Times New Roman" w:eastAsia="仿宋_GB2312"/>
          <w:sz w:val="32"/>
          <w:szCs w:val="32"/>
        </w:rPr>
        <w:t>0.3</w:t>
      </w:r>
      <w:r>
        <w:rPr>
          <w:rFonts w:hint="eastAsia" w:ascii="Times New Roman" w:hAnsi="Times New Roman" w:eastAsia="仿宋_GB2312"/>
          <w:sz w:val="32"/>
          <w:szCs w:val="32"/>
        </w:rPr>
        <w:t>个百分点），与全省目标持平。</w:t>
      </w:r>
    </w:p>
    <w:p w14:paraId="1C5E6C19">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kern w:val="0"/>
          <w:sz w:val="32"/>
          <w:szCs w:val="32"/>
        </w:rPr>
        <w:t>（</w:t>
      </w:r>
      <w:r>
        <w:rPr>
          <w:rFonts w:ascii="Times New Roman" w:hAnsi="Times New Roman" w:eastAsia="仿宋_GB2312"/>
          <w:kern w:val="0"/>
          <w:sz w:val="32"/>
          <w:szCs w:val="32"/>
        </w:rPr>
        <w:t>3</w:t>
      </w:r>
      <w:r>
        <w:rPr>
          <w:rFonts w:hint="eastAsia" w:ascii="Times New Roman" w:hAnsi="Times New Roman" w:eastAsia="仿宋_GB2312"/>
          <w:kern w:val="0"/>
          <w:sz w:val="32"/>
          <w:szCs w:val="32"/>
        </w:rPr>
        <w:t>）</w:t>
      </w:r>
      <w:r>
        <w:rPr>
          <w:rFonts w:hint="eastAsia" w:ascii="Times New Roman" w:hAnsi="Times New Roman" w:eastAsia="仿宋_GB2312"/>
          <w:sz w:val="32"/>
          <w:szCs w:val="32"/>
        </w:rPr>
        <w:t>持续开展</w:t>
      </w:r>
      <w:r>
        <w:rPr>
          <w:rFonts w:ascii="Times New Roman" w:hAnsi="Times New Roman" w:eastAsia="仿宋_GB2312"/>
          <w:sz w:val="32"/>
          <w:szCs w:val="32"/>
        </w:rPr>
        <w:t>“5.12”</w:t>
      </w:r>
      <w:r>
        <w:rPr>
          <w:rFonts w:hint="eastAsia" w:ascii="Times New Roman" w:hAnsi="Times New Roman" w:eastAsia="仿宋_GB2312"/>
          <w:sz w:val="32"/>
          <w:szCs w:val="32"/>
        </w:rPr>
        <w:t>全国防灾减灾日宣教活动，</w:t>
      </w:r>
      <w:r>
        <w:rPr>
          <w:rFonts w:hint="eastAsia" w:ascii="Times New Roman" w:hAnsi="Times New Roman" w:eastAsia="仿宋_GB2312"/>
          <w:kern w:val="0"/>
          <w:sz w:val="32"/>
          <w:szCs w:val="32"/>
        </w:rPr>
        <w:t>全民防灾减灾意识明显增强，防灾减灾知识的社会公众普及率显著提高，实现在校学生自救互救知识全面普及。</w:t>
      </w:r>
    </w:p>
    <w:p w14:paraId="068E54F5">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w:t>
      </w:r>
      <w:r>
        <w:rPr>
          <w:rFonts w:ascii="Times New Roman" w:hAnsi="Times New Roman" w:eastAsia="仿宋_GB2312"/>
          <w:sz w:val="32"/>
          <w:szCs w:val="32"/>
        </w:rPr>
        <w:t>4</w:t>
      </w:r>
      <w:r>
        <w:rPr>
          <w:rFonts w:hint="eastAsia" w:ascii="Times New Roman" w:hAnsi="Times New Roman" w:eastAsia="仿宋_GB2312"/>
          <w:sz w:val="32"/>
          <w:szCs w:val="32"/>
        </w:rPr>
        <w:t>）</w:t>
      </w:r>
      <w:r>
        <w:rPr>
          <w:rFonts w:hint="eastAsia" w:ascii="Times New Roman" w:hAnsi="Times New Roman" w:eastAsia="仿宋_GB2312"/>
          <w:kern w:val="0"/>
          <w:sz w:val="32"/>
          <w:szCs w:val="32"/>
        </w:rPr>
        <w:t>提高全市重要基础设施和基本公共服务设施的灾害设防水平。</w:t>
      </w:r>
    </w:p>
    <w:p w14:paraId="48B91A90">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w:t>
      </w:r>
      <w:r>
        <w:rPr>
          <w:rFonts w:ascii="Times New Roman" w:hAnsi="Times New Roman" w:eastAsia="仿宋_GB2312"/>
          <w:sz w:val="32"/>
          <w:szCs w:val="32"/>
        </w:rPr>
        <w:t>5</w:t>
      </w:r>
      <w:r>
        <w:rPr>
          <w:rFonts w:hint="eastAsia" w:ascii="Times New Roman" w:hAnsi="Times New Roman" w:eastAsia="仿宋_GB2312"/>
          <w:sz w:val="32"/>
          <w:szCs w:val="32"/>
        </w:rPr>
        <w:t>）灾害综合监测预报预警信息发布平台进一步完善，信息发布的准确性、时效性和社会公众覆盖率进一步提高。</w:t>
      </w:r>
    </w:p>
    <w:p w14:paraId="05A5095E">
      <w:pPr>
        <w:overflowPunct w:val="0"/>
        <w:autoSpaceDE w:val="0"/>
        <w:autoSpaceDN w:val="0"/>
        <w:spacing w:line="576" w:lineRule="exact"/>
        <w:ind w:firstLine="640" w:firstLineChars="200"/>
        <w:contextualSpacing/>
        <w:rPr>
          <w:rFonts w:ascii="Times New Roman" w:hAnsi="Times New Roman" w:eastAsia="仿宋_GB2312"/>
          <w:kern w:val="0"/>
          <w:sz w:val="32"/>
          <w:szCs w:val="32"/>
        </w:rPr>
      </w:pPr>
      <w:r>
        <w:rPr>
          <w:rFonts w:hint="eastAsia" w:ascii="Times New Roman" w:hAnsi="Times New Roman" w:eastAsia="仿宋_GB2312"/>
          <w:sz w:val="32"/>
          <w:szCs w:val="32"/>
        </w:rPr>
        <w:t>（</w:t>
      </w:r>
      <w:r>
        <w:rPr>
          <w:rFonts w:ascii="Times New Roman" w:hAnsi="Times New Roman" w:eastAsia="仿宋_GB2312"/>
          <w:sz w:val="32"/>
          <w:szCs w:val="32"/>
        </w:rPr>
        <w:t>6</w:t>
      </w:r>
      <w:r>
        <w:rPr>
          <w:rFonts w:hint="eastAsia" w:ascii="Times New Roman" w:hAnsi="Times New Roman" w:eastAsia="仿宋_GB2312"/>
          <w:sz w:val="32"/>
          <w:szCs w:val="32"/>
        </w:rPr>
        <w:t>）救灾物资储备体系和自然灾害救助政策进一步完善，</w:t>
      </w:r>
      <w:r>
        <w:rPr>
          <w:rFonts w:hint="eastAsia" w:ascii="Times New Roman" w:hAnsi="Times New Roman" w:eastAsia="仿宋_GB2312"/>
          <w:kern w:val="0"/>
          <w:sz w:val="32"/>
          <w:szCs w:val="32"/>
        </w:rPr>
        <w:t>持续推进市、县（区）两级救灾物资储备网络建设，实现</w:t>
      </w:r>
      <w:r>
        <w:rPr>
          <w:rFonts w:hint="eastAsia" w:ascii="Times New Roman" w:hAnsi="Times New Roman" w:eastAsia="仿宋_GB2312"/>
          <w:sz w:val="32"/>
          <w:szCs w:val="32"/>
        </w:rPr>
        <w:t>灾害发生</w:t>
      </w:r>
      <w:r>
        <w:rPr>
          <w:rFonts w:ascii="Times New Roman" w:hAnsi="Times New Roman" w:eastAsia="仿宋_GB2312"/>
          <w:sz w:val="32"/>
          <w:szCs w:val="32"/>
        </w:rPr>
        <w:t>10</w:t>
      </w:r>
      <w:r>
        <w:rPr>
          <w:rFonts w:hint="eastAsia" w:ascii="Times New Roman" w:hAnsi="Times New Roman" w:eastAsia="仿宋_GB2312"/>
          <w:sz w:val="32"/>
          <w:szCs w:val="32"/>
        </w:rPr>
        <w:t>小时之内受灾群众基本生活得到有效救助（比</w:t>
      </w:r>
      <w:r>
        <w:rPr>
          <w:rFonts w:ascii="Times New Roman" w:hAnsi="Times New Roman" w:eastAsia="仿宋_GB2312"/>
          <w:sz w:val="32"/>
          <w:szCs w:val="32"/>
        </w:rPr>
        <w:t>“</w:t>
      </w:r>
      <w:r>
        <w:rPr>
          <w:rFonts w:hint="eastAsia" w:ascii="Times New Roman" w:hAnsi="Times New Roman" w:eastAsia="仿宋_GB2312"/>
          <w:sz w:val="32"/>
          <w:szCs w:val="32"/>
        </w:rPr>
        <w:t>十三五</w:t>
      </w:r>
      <w:r>
        <w:rPr>
          <w:rFonts w:ascii="Times New Roman" w:hAnsi="Times New Roman" w:eastAsia="仿宋_GB2312"/>
          <w:sz w:val="32"/>
          <w:szCs w:val="32"/>
        </w:rPr>
        <w:t>”</w:t>
      </w:r>
      <w:r>
        <w:rPr>
          <w:rFonts w:hint="eastAsia" w:ascii="Times New Roman" w:hAnsi="Times New Roman" w:eastAsia="仿宋_GB2312"/>
          <w:sz w:val="32"/>
          <w:szCs w:val="32"/>
        </w:rPr>
        <w:t>期间缩短</w:t>
      </w:r>
      <w:r>
        <w:rPr>
          <w:rFonts w:ascii="Times New Roman" w:hAnsi="Times New Roman" w:eastAsia="仿宋_GB2312"/>
          <w:sz w:val="32"/>
          <w:szCs w:val="32"/>
        </w:rPr>
        <w:t>2</w:t>
      </w:r>
      <w:r>
        <w:rPr>
          <w:rFonts w:hint="eastAsia" w:ascii="Times New Roman" w:hAnsi="Times New Roman" w:eastAsia="仿宋_GB2312"/>
          <w:sz w:val="32"/>
          <w:szCs w:val="32"/>
        </w:rPr>
        <w:t>小时），灾害综合救助水平显著提高。</w:t>
      </w:r>
    </w:p>
    <w:p w14:paraId="5BC441AC">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w:t>
      </w:r>
      <w:r>
        <w:rPr>
          <w:rFonts w:ascii="Times New Roman" w:hAnsi="Times New Roman" w:eastAsia="仿宋_GB2312"/>
          <w:sz w:val="32"/>
          <w:szCs w:val="32"/>
        </w:rPr>
        <w:t>7</w:t>
      </w:r>
      <w:r>
        <w:rPr>
          <w:rFonts w:hint="eastAsia" w:ascii="Times New Roman" w:hAnsi="Times New Roman" w:eastAsia="仿宋_GB2312"/>
          <w:sz w:val="32"/>
          <w:szCs w:val="32"/>
        </w:rPr>
        <w:t>）年均至少争创</w:t>
      </w:r>
      <w:r>
        <w:rPr>
          <w:rFonts w:ascii="Times New Roman" w:hAnsi="Times New Roman" w:eastAsia="仿宋_GB2312"/>
          <w:sz w:val="32"/>
          <w:szCs w:val="32"/>
        </w:rPr>
        <w:t>1</w:t>
      </w:r>
      <w:r>
        <w:rPr>
          <w:rFonts w:hint="eastAsia" w:ascii="Times New Roman" w:hAnsi="Times New Roman" w:eastAsia="仿宋_GB2312"/>
          <w:sz w:val="32"/>
          <w:szCs w:val="32"/>
        </w:rPr>
        <w:t>个全国综合减灾示范社区和</w:t>
      </w:r>
      <w:r>
        <w:rPr>
          <w:rFonts w:ascii="Times New Roman" w:hAnsi="Times New Roman" w:eastAsia="仿宋_GB2312"/>
          <w:sz w:val="32"/>
          <w:szCs w:val="32"/>
        </w:rPr>
        <w:t>2</w:t>
      </w:r>
      <w:r>
        <w:rPr>
          <w:rFonts w:hint="eastAsia" w:ascii="Times New Roman" w:hAnsi="Times New Roman" w:eastAsia="仿宋_GB2312"/>
          <w:sz w:val="32"/>
          <w:szCs w:val="32"/>
        </w:rPr>
        <w:t>个省级综合减灾示范社区。</w:t>
      </w:r>
    </w:p>
    <w:p w14:paraId="05084273">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w:t>
      </w:r>
      <w:r>
        <w:rPr>
          <w:rFonts w:ascii="Times New Roman" w:hAnsi="Times New Roman" w:eastAsia="仿宋_GB2312"/>
          <w:sz w:val="32"/>
          <w:szCs w:val="32"/>
        </w:rPr>
        <w:t>8</w:t>
      </w:r>
      <w:r>
        <w:rPr>
          <w:rFonts w:hint="eastAsia" w:ascii="Times New Roman" w:hAnsi="Times New Roman" w:eastAsia="仿宋_GB2312"/>
          <w:sz w:val="32"/>
          <w:szCs w:val="32"/>
        </w:rPr>
        <w:t>）防灾减灾救灾社会力量参与水平显著提高，保险等市场机制作用进一步发挥。</w:t>
      </w:r>
    </w:p>
    <w:p w14:paraId="0A9A008F">
      <w:pPr>
        <w:overflowPunct w:val="0"/>
        <w:autoSpaceDE w:val="0"/>
        <w:autoSpaceDN w:val="0"/>
        <w:spacing w:line="576" w:lineRule="exact"/>
        <w:ind w:firstLine="640" w:firstLineChars="200"/>
        <w:contextualSpacing/>
        <w:rPr>
          <w:rFonts w:ascii="Times New Roman" w:hAnsi="Times New Roman" w:eastAsia="黑体"/>
          <w:sz w:val="32"/>
          <w:szCs w:val="32"/>
        </w:rPr>
      </w:pPr>
      <w:r>
        <w:rPr>
          <w:rFonts w:hint="eastAsia" w:ascii="Times New Roman" w:hAnsi="黑体" w:eastAsia="黑体"/>
          <w:sz w:val="32"/>
          <w:szCs w:val="32"/>
        </w:rPr>
        <w:t>四、主要任务</w:t>
      </w:r>
    </w:p>
    <w:p w14:paraId="46DDF2F1">
      <w:pPr>
        <w:overflowPunct w:val="0"/>
        <w:autoSpaceDE w:val="0"/>
        <w:autoSpaceDN w:val="0"/>
        <w:spacing w:line="576" w:lineRule="exact"/>
        <w:ind w:firstLine="640" w:firstLineChars="200"/>
        <w:contextualSpacing/>
        <w:rPr>
          <w:rFonts w:ascii="Times New Roman" w:hAnsi="Times New Roman" w:eastAsia="楷体_GB2312"/>
          <w:sz w:val="32"/>
          <w:szCs w:val="32"/>
        </w:rPr>
      </w:pPr>
      <w:r>
        <w:rPr>
          <w:rFonts w:hint="eastAsia" w:ascii="Times New Roman" w:hAnsi="Times New Roman" w:eastAsia="楷体_GB2312"/>
          <w:sz w:val="32"/>
          <w:szCs w:val="32"/>
        </w:rPr>
        <w:t>（一）推进自然灾害防治体系现代化</w:t>
      </w:r>
    </w:p>
    <w:p w14:paraId="721DF3A4">
      <w:pPr>
        <w:overflowPunct w:val="0"/>
        <w:autoSpaceDE w:val="0"/>
        <w:autoSpaceDN w:val="0"/>
        <w:spacing w:line="576" w:lineRule="exact"/>
        <w:ind w:firstLine="643" w:firstLineChars="200"/>
        <w:contextualSpacing/>
        <w:rPr>
          <w:rFonts w:ascii="Times New Roman" w:hAnsi="Times New Roman" w:eastAsia="仿宋_GB2312"/>
          <w:b/>
          <w:sz w:val="32"/>
          <w:szCs w:val="32"/>
        </w:rPr>
      </w:pPr>
      <w:r>
        <w:rPr>
          <w:rFonts w:hint="eastAsia" w:ascii="Times New Roman" w:hAnsi="Times New Roman" w:eastAsia="仿宋_GB2312"/>
          <w:b/>
          <w:sz w:val="32"/>
          <w:szCs w:val="32"/>
        </w:rPr>
        <w:t>一是健全领导体制，完善工作机制</w:t>
      </w:r>
    </w:p>
    <w:p w14:paraId="50365C52">
      <w:pPr>
        <w:overflowPunct w:val="0"/>
        <w:autoSpaceDE w:val="0"/>
        <w:autoSpaceDN w:val="0"/>
        <w:spacing w:line="576"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深入贯彻落实国家和省委、省政府，市委、市政府关于推进防灾减灾救灾体制机制改革的决策部署。坚持分级负责、属地管理为主的原则，建立党委和政府对防灾减灾救灾工作的统一领导，省与市、市与县（区）应对自然灾害的事权划分明确，相关部门各负其责，协调配合，各有关议事协调机构、各指挥部统筹协调、分工负责的自然灾害应急管理体制。市委、市政府统一领导全市自然灾害防治工作，各级党委和政府、各级减灾委员会成员单位各负其责、协调配合，共同参与。进一步落实乡镇、街道、企事业单位应对自然灾害风险防控责任，建立健全城乡社区、村、企事业单位等基层单位应对自然灾害的工作机制。</w:t>
      </w:r>
    </w:p>
    <w:p w14:paraId="0D18D95E">
      <w:pPr>
        <w:overflowPunct w:val="0"/>
        <w:autoSpaceDE w:val="0"/>
        <w:autoSpaceDN w:val="0"/>
        <w:spacing w:line="576" w:lineRule="exact"/>
        <w:ind w:firstLine="643" w:firstLineChars="200"/>
        <w:contextualSpacing/>
        <w:rPr>
          <w:rFonts w:ascii="Times New Roman" w:hAnsi="Times New Roman" w:eastAsia="仿宋_GB2312"/>
          <w:b/>
          <w:sz w:val="32"/>
          <w:szCs w:val="32"/>
        </w:rPr>
      </w:pPr>
      <w:r>
        <w:rPr>
          <w:rFonts w:hint="eastAsia" w:ascii="Times New Roman" w:hAnsi="Times New Roman" w:eastAsia="仿宋_GB2312"/>
          <w:b/>
          <w:sz w:val="32"/>
          <w:szCs w:val="32"/>
        </w:rPr>
        <w:t>二是健全自然灾害防治法规和预案标准体系</w:t>
      </w:r>
    </w:p>
    <w:p w14:paraId="12D5215B">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依据国家和省层面的自然灾害防治法律法规，健全我市灾害防治法规体系，明确各部门在自然灾害防治中的行业管理和协调配合职责，进一步理顺自然灾害防治工作职责关系，提高灾害防治法治化水平。完善自然灾害防治和应急管理工作制度、工作流程，制定和完善全市自然灾害监测预警、应急物资储备、应急演练、应急响应、现场指挥救援等工作规程和标准，逐步完善覆盖全灾种、全过程的自然灾害防治标准框架，形成具有本地区特点的自然灾害防治法规和标准体系。按照职责分工，组织修订《阜新市突发事件总体应急预案》等文件，进一步明确总体应急预案的地位、效力、应急处置流程和措施。组织修订自然灾害救助、防汛抗旱、地震、地质灾害、森林草原火灾等自然灾害专项应急预案，完善分级应对机制，进行合成演练。</w:t>
      </w:r>
    </w:p>
    <w:p w14:paraId="6FA1B574">
      <w:pPr>
        <w:overflowPunct w:val="0"/>
        <w:autoSpaceDE w:val="0"/>
        <w:autoSpaceDN w:val="0"/>
        <w:spacing w:line="576" w:lineRule="exact"/>
        <w:ind w:firstLine="645"/>
        <w:contextualSpacing/>
        <w:rPr>
          <w:rFonts w:ascii="Times New Roman" w:hAnsi="Times New Roman" w:eastAsia="仿宋_GB2312"/>
          <w:b/>
          <w:sz w:val="32"/>
          <w:szCs w:val="32"/>
        </w:rPr>
      </w:pPr>
      <w:r>
        <w:rPr>
          <w:rFonts w:hint="eastAsia" w:ascii="Times New Roman" w:hAnsi="Times New Roman" w:eastAsia="仿宋_GB2312"/>
          <w:b/>
          <w:sz w:val="32"/>
          <w:szCs w:val="32"/>
        </w:rPr>
        <w:t>三是健全防灾减灾科普宣传教育</w:t>
      </w:r>
    </w:p>
    <w:p w14:paraId="291D4874">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加强资源整合和宣传教育阵地建设，推动防灾减灾科普宣传教育进企业、进农村、进社区、进学校、进家庭。继续将防灾减灾知识纳入各级各类学校教育体系，鼓励开发使用在线课程和虚拟仿真教学，加大教育普及力度。充分利用全国防灾减灾日、安全生产月、全国消防日、国际减灾日等节点，组织开展多种形式的防灾减灾宣传教育活动。针对季节性和区域性自然灾害风险，常态化开展防灾减灾知识宣传和应急演练。编制实施防灾减灾教育培训计划，加大教育培训力度，全面提升各级领导干部灾害风险管理能力。</w:t>
      </w:r>
    </w:p>
    <w:p w14:paraId="40450E17">
      <w:pPr>
        <w:overflowPunct w:val="0"/>
        <w:autoSpaceDE w:val="0"/>
        <w:autoSpaceDN w:val="0"/>
        <w:spacing w:line="576" w:lineRule="exact"/>
        <w:ind w:firstLine="645"/>
        <w:contextualSpacing/>
        <w:rPr>
          <w:rFonts w:ascii="Times New Roman" w:hAnsi="Times New Roman" w:eastAsia="仿宋_GB2312"/>
          <w:b/>
          <w:sz w:val="32"/>
          <w:szCs w:val="32"/>
        </w:rPr>
      </w:pPr>
      <w:r>
        <w:rPr>
          <w:rFonts w:hint="eastAsia" w:ascii="Times New Roman" w:hAnsi="Times New Roman" w:eastAsia="仿宋_GB2312"/>
          <w:b/>
          <w:sz w:val="32"/>
          <w:szCs w:val="32"/>
        </w:rPr>
        <w:t>四是健全灾害信息共享和舆情应对机制</w:t>
      </w:r>
    </w:p>
    <w:p w14:paraId="11369C5C">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建立应急、工业和信息化、公安、自然资源、住房城乡建设、交通运输、水利、统计、气象、林草等单位的灾害信息互联互通机制，构建统一的灾害综合信息共享服务平台，实现致灾因子、承灾体、救援救灾力量资源等信息及时共享。加强灾害趋势和灾情会商研判，完善灾情统计制度和灾害信息管理系统，进一步壮大灾害信息员队伍，监督履行职责并强化动态监管。健全重特大灾害舆情应对机制，强化信息公开，拓展信息发布渠道，充分发挥主流媒体作用，扩大受众面和影响力。加强舆情监测和引导，及时发布信息，积极回应社会关切。</w:t>
      </w:r>
    </w:p>
    <w:p w14:paraId="1B16085B">
      <w:pPr>
        <w:overflowPunct w:val="0"/>
        <w:autoSpaceDE w:val="0"/>
        <w:autoSpaceDN w:val="0"/>
        <w:spacing w:line="576" w:lineRule="exact"/>
        <w:ind w:firstLine="645"/>
        <w:contextualSpacing/>
        <w:rPr>
          <w:rFonts w:ascii="Times New Roman" w:hAnsi="Times New Roman" w:eastAsia="楷体_GB2312"/>
          <w:sz w:val="32"/>
          <w:szCs w:val="32"/>
        </w:rPr>
      </w:pPr>
      <w:r>
        <w:rPr>
          <w:rFonts w:hint="eastAsia" w:ascii="Times New Roman" w:hAnsi="Times New Roman" w:eastAsia="楷体_GB2312"/>
          <w:sz w:val="32"/>
          <w:szCs w:val="32"/>
        </w:rPr>
        <w:t>（二）推进自然灾害防治能力现代化</w:t>
      </w:r>
    </w:p>
    <w:p w14:paraId="2DEBD858">
      <w:pPr>
        <w:overflowPunct w:val="0"/>
        <w:autoSpaceDE w:val="0"/>
        <w:autoSpaceDN w:val="0"/>
        <w:spacing w:line="576" w:lineRule="exact"/>
        <w:ind w:firstLine="645"/>
        <w:contextualSpacing/>
        <w:rPr>
          <w:rFonts w:ascii="Times New Roman" w:hAnsi="Times New Roman" w:eastAsia="仿宋_GB2312"/>
          <w:b/>
          <w:sz w:val="32"/>
          <w:szCs w:val="32"/>
        </w:rPr>
      </w:pPr>
      <w:r>
        <w:rPr>
          <w:rFonts w:hint="eastAsia" w:ascii="Times New Roman" w:hAnsi="Times New Roman" w:eastAsia="仿宋_GB2312"/>
          <w:b/>
          <w:sz w:val="32"/>
          <w:szCs w:val="32"/>
        </w:rPr>
        <w:t>一是加强灾害综合监测预警能力</w:t>
      </w:r>
    </w:p>
    <w:p w14:paraId="30877494">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组织开展全市灾害风险普查，摸清全市灾害风险隐患底数，查明重点区域抗灾能力。建立完善全市自然灾害综合风险与减灾能力调查评估指标体系，编制市、县（区）、乡（镇）三级自然灾害综合风险图和自然灾害综合防治区划图。加强重点区域自然灾害监测预报预警基础设施建设，整合气象、水文、地震、地质、森林等监测设施，形成空天地一体化全域覆盖的自然灾害监测感知网络体系。加强跨部门、跨地域的网络互联和信息共享，提高多灾种和灾害链综合监测、风险早期识别和预报预警能力。整合信息发布资源，完善全市突发事件预警信息发布渠道，强化面向公众预警信息传播能力，提升预警信息发布的覆盖面、精准度和实效性。健全灾情统计制度和灾情报告系统，强化</w:t>
      </w:r>
      <w:r>
        <w:rPr>
          <w:rFonts w:ascii="Times New Roman" w:hAnsi="Times New Roman" w:eastAsia="仿宋_GB2312"/>
          <w:sz w:val="32"/>
          <w:szCs w:val="32"/>
        </w:rPr>
        <w:t>“</w:t>
      </w:r>
      <w:r>
        <w:rPr>
          <w:rFonts w:hint="eastAsia" w:ascii="Times New Roman" w:hAnsi="Times New Roman" w:eastAsia="仿宋_GB2312"/>
          <w:sz w:val="32"/>
          <w:szCs w:val="32"/>
        </w:rPr>
        <w:t>国家、省、市、县、乡、村</w:t>
      </w:r>
      <w:r>
        <w:rPr>
          <w:rFonts w:ascii="Times New Roman" w:hAnsi="Times New Roman" w:eastAsia="仿宋_GB2312"/>
          <w:sz w:val="32"/>
          <w:szCs w:val="32"/>
        </w:rPr>
        <w:t>”</w:t>
      </w:r>
      <w:r>
        <w:rPr>
          <w:rFonts w:hint="eastAsia" w:ascii="Times New Roman" w:hAnsi="Times New Roman" w:eastAsia="仿宋_GB2312"/>
          <w:sz w:val="32"/>
          <w:szCs w:val="32"/>
        </w:rPr>
        <w:t>灾情报送体系，健全灾情会商和信息共享机制，提升灾情处置工作的时效性、准确性、科学性。</w:t>
      </w:r>
    </w:p>
    <w:p w14:paraId="73CBA4DB">
      <w:pPr>
        <w:overflowPunct w:val="0"/>
        <w:autoSpaceDE w:val="0"/>
        <w:autoSpaceDN w:val="0"/>
        <w:spacing w:line="576" w:lineRule="exact"/>
        <w:ind w:firstLine="645"/>
        <w:contextualSpacing/>
        <w:rPr>
          <w:rFonts w:ascii="Times New Roman" w:hAnsi="Times New Roman" w:eastAsia="仿宋_GB2312"/>
          <w:b/>
          <w:sz w:val="32"/>
          <w:szCs w:val="32"/>
        </w:rPr>
      </w:pPr>
      <w:r>
        <w:rPr>
          <w:rFonts w:hint="eastAsia" w:ascii="Times New Roman" w:hAnsi="Times New Roman" w:eastAsia="仿宋_GB2312"/>
          <w:b/>
          <w:sz w:val="32"/>
          <w:szCs w:val="32"/>
        </w:rPr>
        <w:t>二是加强自然灾害工程防御能力</w:t>
      </w:r>
    </w:p>
    <w:p w14:paraId="748C7AEC">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kern w:val="0"/>
          <w:sz w:val="32"/>
          <w:szCs w:val="32"/>
        </w:rPr>
        <w:t>加强防汛抗旱、防震减灾、防风抗潮、防沙治沙、森林防火、生态环境治理等防灾减灾骨干工程建设，提高自然灾害工程防御能力。加快江河湖泊治理骨干工程建设，重要支流和中小河流治理，加快病险水库除险加固、山洪泥石流灾害防治，加强农业防灾减灾基础设施建设，加强城市防洪排涝建设，加强抗旱应急水源工程建设。持续推进危化品三年专项整治，强化尾矿库闭库治理，防范次生灾害发生。继续实施公共基础设施安全加固工程，重点提升学校、医院等人员密集场所，重大建设工程以及生命线工程的抗灾能力和设防水平，提高公共设施安全水平。结合扶贫开发、新农村建设、危房改造、灾后恢复重建等，推进实施自然灾害高风险区农村困难群众危房改造工程，提升农村住房设防水平和承灾能力，</w:t>
      </w:r>
      <w:r>
        <w:rPr>
          <w:rFonts w:hint="eastAsia" w:ascii="Times New Roman" w:hAnsi="Times New Roman" w:eastAsia="仿宋_GB2312"/>
          <w:sz w:val="32"/>
          <w:szCs w:val="32"/>
        </w:rPr>
        <w:t>加强各级减灾示范社区和</w:t>
      </w:r>
      <w:r>
        <w:rPr>
          <w:rFonts w:hint="eastAsia" w:ascii="Times New Roman" w:hAnsi="Times New Roman" w:eastAsia="仿宋_GB2312"/>
          <w:kern w:val="0"/>
          <w:sz w:val="32"/>
          <w:szCs w:val="32"/>
        </w:rPr>
        <w:t>应急避难场所建设。</w:t>
      </w:r>
    </w:p>
    <w:p w14:paraId="7E215EB9">
      <w:pPr>
        <w:overflowPunct w:val="0"/>
        <w:autoSpaceDE w:val="0"/>
        <w:autoSpaceDN w:val="0"/>
        <w:spacing w:line="576" w:lineRule="exact"/>
        <w:ind w:firstLine="645"/>
        <w:contextualSpacing/>
        <w:rPr>
          <w:rFonts w:ascii="仿宋_GB2312" w:hAnsi="Times New Roman" w:eastAsia="仿宋_GB2312"/>
          <w:b/>
          <w:sz w:val="32"/>
          <w:szCs w:val="32"/>
        </w:rPr>
      </w:pPr>
      <w:r>
        <w:rPr>
          <w:rFonts w:hint="eastAsia" w:ascii="仿宋_GB2312" w:hAnsi="Times New Roman" w:eastAsia="仿宋_GB2312"/>
          <w:b/>
          <w:sz w:val="32"/>
          <w:szCs w:val="32"/>
        </w:rPr>
        <w:t>三是加强综合应急救援救灾能力</w:t>
      </w:r>
    </w:p>
    <w:p w14:paraId="6BCE15B9">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全市应急救援力量要坚持专业能力建设与综合能力建设</w:t>
      </w:r>
      <w:r>
        <w:rPr>
          <w:rFonts w:ascii="Times New Roman" w:hAnsi="Times New Roman" w:eastAsia="仿宋_GB2312"/>
          <w:sz w:val="32"/>
          <w:szCs w:val="32"/>
        </w:rPr>
        <w:t>“</w:t>
      </w:r>
      <w:r>
        <w:rPr>
          <w:rFonts w:hint="eastAsia" w:ascii="Times New Roman" w:hAnsi="Times New Roman" w:eastAsia="仿宋_GB2312"/>
          <w:sz w:val="32"/>
          <w:szCs w:val="32"/>
        </w:rPr>
        <w:t>两手抓</w:t>
      </w:r>
      <w:r>
        <w:rPr>
          <w:rFonts w:ascii="Times New Roman" w:hAnsi="Times New Roman" w:eastAsia="仿宋_GB2312"/>
          <w:sz w:val="32"/>
          <w:szCs w:val="32"/>
        </w:rPr>
        <w:t>”</w:t>
      </w:r>
      <w:r>
        <w:rPr>
          <w:rFonts w:hint="eastAsia" w:ascii="Times New Roman" w:hAnsi="Times New Roman" w:eastAsia="仿宋_GB2312"/>
          <w:sz w:val="32"/>
          <w:szCs w:val="32"/>
        </w:rPr>
        <w:t>，加大先进关键装备配备力度，在实战中磨合练兵。加快实现综合性消防救援队伍转型升级，全面提升综合救援能力，切实担负起各类灾害抢险救援任务。统筹安全生产、地震救援、航空护林等应急力量，推进市、县级综合性应急救援队伍建设。按照应急救援主力军的定位，突出加强市级应急救援核心力量建设。积极引导社会救援力量发展。进一步提高各级领导干部应急管理能力，举办应急管理课程培训，增强干部灾害风险意识，提升应急指挥能力。</w:t>
      </w:r>
    </w:p>
    <w:p w14:paraId="732C1565">
      <w:pPr>
        <w:overflowPunct w:val="0"/>
        <w:autoSpaceDE w:val="0"/>
        <w:autoSpaceDN w:val="0"/>
        <w:spacing w:line="576" w:lineRule="exact"/>
        <w:ind w:firstLine="645"/>
        <w:contextualSpacing/>
        <w:rPr>
          <w:rFonts w:ascii="仿宋_GB2312" w:hAnsi="Times New Roman" w:eastAsia="仿宋_GB2312"/>
          <w:b/>
          <w:sz w:val="32"/>
          <w:szCs w:val="32"/>
        </w:rPr>
      </w:pPr>
      <w:r>
        <w:rPr>
          <w:rFonts w:hint="eastAsia" w:ascii="仿宋_GB2312" w:hAnsi="Times New Roman" w:eastAsia="仿宋_GB2312"/>
          <w:b/>
          <w:sz w:val="32"/>
          <w:szCs w:val="32"/>
        </w:rPr>
        <w:t>四是加强应急物资保障能力</w:t>
      </w:r>
    </w:p>
    <w:p w14:paraId="6422D65C">
      <w:pPr>
        <w:overflowPunct w:val="0"/>
        <w:autoSpaceDE w:val="0"/>
        <w:autoSpaceDN w:val="0"/>
        <w:spacing w:line="576" w:lineRule="exact"/>
        <w:ind w:firstLine="645"/>
        <w:contextualSpacing/>
        <w:rPr>
          <w:rFonts w:ascii="Times New Roman" w:hAnsi="Times New Roman" w:eastAsia="仿宋_GB2312"/>
          <w:kern w:val="0"/>
          <w:sz w:val="32"/>
          <w:szCs w:val="32"/>
        </w:rPr>
      </w:pPr>
      <w:r>
        <w:rPr>
          <w:rFonts w:hint="eastAsia" w:ascii="Times New Roman" w:hAnsi="Times New Roman" w:eastAsia="仿宋_GB2312"/>
          <w:sz w:val="32"/>
          <w:szCs w:val="32"/>
        </w:rPr>
        <w:t>完善各级应急物资储备体系，持续推进应急物资储备网络建设。依据《辽宁省自然灾害救灾应急储备物资目录</w:t>
      </w:r>
      <w:r>
        <w:rPr>
          <w:rFonts w:hint="eastAsia" w:ascii="仿宋_GB2312" w:hAnsi="Times New Roman" w:eastAsia="仿宋_GB2312"/>
          <w:sz w:val="32"/>
          <w:szCs w:val="32"/>
        </w:rPr>
        <w:t>（</w:t>
      </w:r>
      <w:r>
        <w:rPr>
          <w:rFonts w:ascii="仿宋_GB2312" w:hAnsi="Times New Roman" w:eastAsia="仿宋_GB2312"/>
          <w:sz w:val="32"/>
          <w:szCs w:val="32"/>
        </w:rPr>
        <w:t>2020</w:t>
      </w:r>
      <w:r>
        <w:rPr>
          <w:rFonts w:hint="eastAsia" w:ascii="仿宋_GB2312" w:hAnsi="Times New Roman" w:eastAsia="仿宋_GB2312"/>
          <w:sz w:val="32"/>
          <w:szCs w:val="32"/>
        </w:rPr>
        <w:t>）</w:t>
      </w:r>
      <w:r>
        <w:rPr>
          <w:rFonts w:hint="eastAsia" w:ascii="Times New Roman" w:hAnsi="Times New Roman" w:eastAsia="仿宋_GB2312"/>
          <w:sz w:val="32"/>
          <w:szCs w:val="32"/>
        </w:rPr>
        <w:t>》，结合我市实际，合理扩大储备规模和品种品类。采用实物储备、协议储备等多种方式，丰富应急物资储备品种，优化物资储备布局，提高物资保障现代化管理水平。建立健全应急物资集中生产调度、紧急采购和征用补偿、紧急调运分发等机制。</w:t>
      </w:r>
      <w:r>
        <w:rPr>
          <w:rFonts w:hint="eastAsia" w:ascii="Times New Roman" w:hAnsi="Times New Roman" w:eastAsia="仿宋_GB2312"/>
          <w:kern w:val="0"/>
          <w:sz w:val="32"/>
          <w:szCs w:val="32"/>
        </w:rPr>
        <w:t>建立健全与经济社会发展水平相适应的自然灾害救助资金补助标准，稳步提升受灾群众生活保障水平。统筹做好恢复重建需求评估、重建规划、技术保障、政策支持等工作，坚持科学重建、民生优先，将城乡居民住房恢复重建摆在突出和优先位置。加快恢复完善公共服务体系，有效提升灾后恢复重建能力和水平。</w:t>
      </w:r>
    </w:p>
    <w:p w14:paraId="3675B37C">
      <w:pPr>
        <w:overflowPunct w:val="0"/>
        <w:autoSpaceDE w:val="0"/>
        <w:autoSpaceDN w:val="0"/>
        <w:spacing w:line="576" w:lineRule="exact"/>
        <w:ind w:firstLine="645"/>
        <w:contextualSpacing/>
        <w:rPr>
          <w:rFonts w:ascii="仿宋_GB2312" w:hAnsi="Times New Roman" w:eastAsia="仿宋_GB2312"/>
          <w:b/>
          <w:sz w:val="32"/>
          <w:szCs w:val="32"/>
        </w:rPr>
      </w:pPr>
      <w:r>
        <w:rPr>
          <w:rFonts w:hint="eastAsia" w:ascii="仿宋_GB2312" w:hAnsi="Times New Roman" w:eastAsia="仿宋_GB2312"/>
          <w:b/>
          <w:sz w:val="32"/>
          <w:szCs w:val="32"/>
        </w:rPr>
        <w:t>五是加强防灾减灾科技支撑能力</w:t>
      </w:r>
    </w:p>
    <w:p w14:paraId="651ECB81">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加强自然灾害防治理论和政策研究，进一步加强科技创新平台建设。强化高校院所知识创新主体地位，广泛利用市内高校、科研院所的优势，注重自然灾害应用理论、专题理论研究，完善专家咨询机制，充分发挥专家学者在防范自然灾害的决策支撑作用。组织实施自然灾害防治、综合防灾减灾、突发事件应急体系建设、防震减灾等重大政策研究，充分运用自然灾害领域的科研成果，提升灾害监测预警预报、风险评估、抢险救援等方面的科技支撑水平。继续加强先进科技装备推广应用与配备，提高各级救援队伍专业化技术装备水平。</w:t>
      </w:r>
    </w:p>
    <w:p w14:paraId="67F8DD33">
      <w:pPr>
        <w:overflowPunct w:val="0"/>
        <w:autoSpaceDE w:val="0"/>
        <w:autoSpaceDN w:val="0"/>
        <w:spacing w:line="576" w:lineRule="exact"/>
        <w:ind w:firstLine="645"/>
        <w:contextualSpacing/>
        <w:rPr>
          <w:rFonts w:ascii="仿宋_GB2312" w:hAnsi="Times New Roman" w:eastAsia="仿宋_GB2312"/>
          <w:b/>
          <w:sz w:val="32"/>
          <w:szCs w:val="32"/>
        </w:rPr>
      </w:pPr>
      <w:r>
        <w:rPr>
          <w:rFonts w:hint="eastAsia" w:ascii="仿宋_GB2312" w:hAnsi="Times New Roman" w:eastAsia="仿宋_GB2312"/>
          <w:b/>
          <w:sz w:val="32"/>
          <w:szCs w:val="32"/>
        </w:rPr>
        <w:t>六是加强基层综合减灾能力</w:t>
      </w:r>
    </w:p>
    <w:p w14:paraId="3E83C2CE">
      <w:pPr>
        <w:overflowPunct w:val="0"/>
        <w:autoSpaceDE w:val="0"/>
        <w:autoSpaceDN w:val="0"/>
        <w:spacing w:line="576" w:lineRule="exact"/>
        <w:ind w:firstLine="645"/>
        <w:contextualSpacing/>
        <w:rPr>
          <w:rFonts w:ascii="Times New Roman" w:hAnsi="Times New Roman" w:eastAsia="仿宋_GB2312"/>
          <w:sz w:val="32"/>
          <w:szCs w:val="32"/>
        </w:rPr>
      </w:pPr>
      <w:r>
        <w:rPr>
          <w:rFonts w:hint="eastAsia" w:ascii="Times New Roman" w:hAnsi="Times New Roman" w:eastAsia="仿宋_GB2312"/>
          <w:sz w:val="32"/>
          <w:szCs w:val="32"/>
        </w:rPr>
        <w:t>健全城市安全制度体系，大力提高城市住房和公共设施的设防标准和抗灾能力。强化农村灾害风险隐患排查治理，探索建立适合农村地区的灾害风险防范体系。结合新型城镇化、乡村振兴和区域协同发展等战略实施，完善区域灾害风险应对协调机制，推进区域防灾减灾救灾一体化进程。健全乡镇（街道）应急组织体系，实现有机构、有场所、有人员，管理运行规范化。加强灾害风险网格化管理，开展常态化灾害风险和隐患排查治理。</w:t>
      </w:r>
    </w:p>
    <w:p w14:paraId="2C96EEF7">
      <w:pPr>
        <w:overflowPunct w:val="0"/>
        <w:autoSpaceDE w:val="0"/>
        <w:autoSpaceDN w:val="0"/>
        <w:spacing w:line="576" w:lineRule="exact"/>
        <w:ind w:firstLine="645"/>
        <w:contextualSpacing/>
        <w:rPr>
          <w:rFonts w:ascii="Times New Roman" w:hAnsi="Times New Roman" w:eastAsia="黑体"/>
          <w:sz w:val="32"/>
          <w:szCs w:val="32"/>
        </w:rPr>
      </w:pPr>
      <w:r>
        <w:rPr>
          <w:rFonts w:hint="eastAsia" w:ascii="Times New Roman" w:hAnsi="黑体" w:eastAsia="黑体"/>
          <w:sz w:val="32"/>
          <w:szCs w:val="32"/>
        </w:rPr>
        <w:t>五、重点工程</w:t>
      </w:r>
    </w:p>
    <w:p w14:paraId="166AEC94">
      <w:pPr>
        <w:overflowPunct w:val="0"/>
        <w:autoSpaceDE w:val="0"/>
        <w:autoSpaceDN w:val="0"/>
        <w:spacing w:line="576" w:lineRule="exact"/>
        <w:ind w:firstLine="640"/>
        <w:contextualSpacing/>
        <w:rPr>
          <w:rFonts w:ascii="Times New Roman" w:hAnsi="Times New Roman" w:eastAsia="楷体_GB2312"/>
          <w:bCs/>
          <w:sz w:val="32"/>
          <w:szCs w:val="32"/>
        </w:rPr>
      </w:pPr>
      <w:r>
        <w:rPr>
          <w:rFonts w:hint="eastAsia" w:ascii="Times New Roman" w:hAnsi="Times New Roman" w:eastAsia="楷体_GB2312"/>
          <w:bCs/>
          <w:sz w:val="32"/>
          <w:szCs w:val="32"/>
        </w:rPr>
        <w:t>（一）实施灾害风险和重点隐患排查工程</w:t>
      </w:r>
    </w:p>
    <w:p w14:paraId="2E4689BB">
      <w:pPr>
        <w:overflowPunct w:val="0"/>
        <w:autoSpaceDE w:val="0"/>
        <w:autoSpaceDN w:val="0"/>
        <w:spacing w:line="576" w:lineRule="exact"/>
        <w:ind w:firstLine="640"/>
        <w:contextualSpacing/>
        <w:rPr>
          <w:rFonts w:ascii="Times New Roman" w:hAnsi="Times New Roman" w:eastAsia="仿宋_GB2312"/>
          <w:b/>
          <w:bCs/>
          <w:sz w:val="32"/>
          <w:szCs w:val="32"/>
        </w:rPr>
      </w:pPr>
      <w:r>
        <w:rPr>
          <w:rFonts w:hint="eastAsia" w:ascii="Times New Roman" w:hAnsi="Times New Roman" w:eastAsia="仿宋_GB2312"/>
          <w:sz w:val="32"/>
          <w:szCs w:val="32"/>
        </w:rPr>
        <w:t>组织开展全市自然灾害综合风险普查，掌握全市灾害风险隐患所在，查准重点区域抗灾能力和减灾能力，建立灾害风险基础数据库，编制形成自然灾害综合风险图和自然灾害综合防治区划图，为有效开展自然灾害防治和应急管理工作，切实保障社会经济可持续发展提供权威的灾害风险信息和科学决策依据。</w:t>
      </w:r>
    </w:p>
    <w:p w14:paraId="6400C4A6">
      <w:pPr>
        <w:overflowPunct w:val="0"/>
        <w:autoSpaceDE w:val="0"/>
        <w:autoSpaceDN w:val="0"/>
        <w:spacing w:line="576" w:lineRule="exact"/>
        <w:ind w:firstLine="640"/>
        <w:rPr>
          <w:rFonts w:ascii="Times New Roman" w:hAnsi="Times New Roman" w:eastAsia="楷体_GB2312"/>
          <w:bCs/>
          <w:sz w:val="32"/>
          <w:szCs w:val="32"/>
        </w:rPr>
      </w:pPr>
      <w:r>
        <w:rPr>
          <w:rFonts w:hint="eastAsia" w:ascii="Times New Roman" w:hAnsi="Times New Roman" w:eastAsia="楷体_GB2312"/>
          <w:bCs/>
          <w:sz w:val="32"/>
          <w:szCs w:val="32"/>
        </w:rPr>
        <w:t>（二）实施重点生态功能区生态修复工程</w:t>
      </w:r>
    </w:p>
    <w:p w14:paraId="08F29B2E">
      <w:pPr>
        <w:overflowPunct w:val="0"/>
        <w:autoSpaceDE w:val="0"/>
        <w:autoSpaceDN w:val="0"/>
        <w:spacing w:line="576" w:lineRule="exact"/>
        <w:ind w:firstLine="640"/>
        <w:rPr>
          <w:rFonts w:ascii="Times New Roman" w:hAnsi="Times New Roman" w:eastAsia="仿宋_GB2312"/>
          <w:sz w:val="32"/>
          <w:szCs w:val="32"/>
        </w:rPr>
      </w:pPr>
      <w:r>
        <w:rPr>
          <w:rFonts w:hint="eastAsia" w:ascii="Times New Roman" w:hAnsi="Times New Roman" w:eastAsia="仿宋_GB2312"/>
          <w:sz w:val="32"/>
          <w:szCs w:val="32"/>
        </w:rPr>
        <w:t>加强恢复森林、草原、河湖、湿地、荒漠生态系统功能，继续实施退耕还林还草、退牧还草，推进生态功能区保护修复工作等。</w:t>
      </w:r>
    </w:p>
    <w:p w14:paraId="642A20E6">
      <w:pPr>
        <w:overflowPunct w:val="0"/>
        <w:autoSpaceDE w:val="0"/>
        <w:autoSpaceDN w:val="0"/>
        <w:spacing w:line="576" w:lineRule="exact"/>
        <w:ind w:firstLine="640"/>
        <w:rPr>
          <w:rFonts w:ascii="Times New Roman" w:hAnsi="Times New Roman" w:eastAsia="楷体_GB2312"/>
          <w:bCs/>
          <w:sz w:val="32"/>
          <w:szCs w:val="32"/>
        </w:rPr>
      </w:pPr>
      <w:r>
        <w:rPr>
          <w:rFonts w:hint="eastAsia" w:ascii="Times New Roman" w:hAnsi="Times New Roman" w:eastAsia="楷体_GB2312"/>
          <w:bCs/>
          <w:sz w:val="32"/>
          <w:szCs w:val="32"/>
        </w:rPr>
        <w:t>（三）实施地震易发区房屋设施加固工程</w:t>
      </w:r>
    </w:p>
    <w:p w14:paraId="73D92BAC">
      <w:pPr>
        <w:overflowPunct w:val="0"/>
        <w:autoSpaceDE w:val="0"/>
        <w:autoSpaceDN w:val="0"/>
        <w:spacing w:line="576" w:lineRule="exact"/>
        <w:ind w:firstLine="640"/>
        <w:rPr>
          <w:rFonts w:ascii="Times New Roman" w:hAnsi="Times New Roman" w:eastAsia="仿宋_GB2312"/>
          <w:sz w:val="32"/>
          <w:szCs w:val="32"/>
        </w:rPr>
      </w:pPr>
      <w:r>
        <w:rPr>
          <w:rFonts w:hint="eastAsia" w:ascii="Times New Roman" w:hAnsi="Times New Roman" w:eastAsia="仿宋_GB2312"/>
          <w:sz w:val="32"/>
          <w:szCs w:val="32"/>
        </w:rPr>
        <w:t>以自然灾害普查基础数据图为基础，在地震灾害易发区，以居民小区、大中小学校舍、医院，以及重要交通生命线、电力和电信网络、水库大坝、重要设施等为重点，及时进行抗震加固。其他新建住宅和公共设施要科学设计，提高抗震防灾能力。对应急避难场所要高度重视，科学合理规划，高标准建设。</w:t>
      </w:r>
    </w:p>
    <w:p w14:paraId="3782D470">
      <w:pPr>
        <w:overflowPunct w:val="0"/>
        <w:autoSpaceDE w:val="0"/>
        <w:autoSpaceDN w:val="0"/>
        <w:spacing w:line="576" w:lineRule="exact"/>
        <w:ind w:firstLine="640"/>
        <w:rPr>
          <w:rFonts w:ascii="Times New Roman" w:hAnsi="Times New Roman" w:eastAsia="楷体_GB2312"/>
          <w:bCs/>
          <w:sz w:val="32"/>
          <w:szCs w:val="32"/>
        </w:rPr>
      </w:pPr>
      <w:r>
        <w:rPr>
          <w:rFonts w:hint="eastAsia" w:ascii="Times New Roman" w:hAnsi="Times New Roman" w:eastAsia="楷体_GB2312"/>
          <w:bCs/>
          <w:sz w:val="32"/>
          <w:szCs w:val="32"/>
        </w:rPr>
        <w:t>（四）实施防汛抗旱水利提升工程</w:t>
      </w:r>
    </w:p>
    <w:p w14:paraId="4DE1F19B">
      <w:pPr>
        <w:overflowPunct w:val="0"/>
        <w:autoSpaceDE w:val="0"/>
        <w:autoSpaceDN w:val="0"/>
        <w:spacing w:line="576" w:lineRule="exact"/>
        <w:ind w:firstLine="640"/>
        <w:rPr>
          <w:rFonts w:ascii="Times New Roman" w:hAnsi="Times New Roman" w:eastAsia="仿宋_GB2312"/>
          <w:sz w:val="32"/>
          <w:szCs w:val="32"/>
        </w:rPr>
      </w:pPr>
      <w:r>
        <w:rPr>
          <w:rFonts w:hint="eastAsia" w:ascii="Times New Roman" w:hAnsi="Times New Roman" w:eastAsia="仿宋_GB2312"/>
          <w:sz w:val="32"/>
          <w:szCs w:val="32"/>
        </w:rPr>
        <w:t>加强防汛抗旱水利工程建设，着力解决主要江河防洪、病险水库、中小河流、山洪灾害、危化品厂库、矿山尾矿库等方面的安全问题。全面提升水旱灾害防御能力，因地制宜、统筹开展堤防加固、河道治理、控制性工程等建设，完善防洪抗旱工程体系。推进河势控制和河道整治，加强中小河流治理、病险水库除险加固和山洪灾害防治。对主要江河治理流域面积</w:t>
      </w:r>
      <w:r>
        <w:rPr>
          <w:rFonts w:ascii="仿宋_GB2312" w:hAnsi="Times New Roman" w:eastAsia="仿宋_GB2312"/>
          <w:sz w:val="32"/>
          <w:szCs w:val="32"/>
        </w:rPr>
        <w:t>3000</w:t>
      </w:r>
      <w:r>
        <w:rPr>
          <w:rFonts w:hint="eastAsia" w:ascii="仿宋_GB2312" w:hAnsi="Times New Roman" w:eastAsia="仿宋_GB2312"/>
          <w:sz w:val="32"/>
          <w:szCs w:val="32"/>
        </w:rPr>
        <w:t>平方公里以上，实施重点地区中小河流治理工程</w:t>
      </w:r>
      <w:r>
        <w:rPr>
          <w:rFonts w:ascii="仿宋_GB2312" w:hAnsi="Times New Roman" w:eastAsia="仿宋_GB2312"/>
          <w:sz w:val="32"/>
          <w:szCs w:val="32"/>
        </w:rPr>
        <w:t>28</w:t>
      </w:r>
      <w:r>
        <w:rPr>
          <w:rFonts w:hint="eastAsia" w:ascii="仿宋_GB2312" w:hAnsi="Times New Roman" w:eastAsia="仿宋_GB2312"/>
          <w:sz w:val="32"/>
          <w:szCs w:val="32"/>
        </w:rPr>
        <w:t>项；继续实施水库</w:t>
      </w:r>
      <w:r>
        <w:rPr>
          <w:rFonts w:hint="eastAsia" w:ascii="Times New Roman" w:hAnsi="Times New Roman" w:eastAsia="仿宋_GB2312"/>
          <w:sz w:val="32"/>
          <w:szCs w:val="32"/>
        </w:rPr>
        <w:t>除险加固工程，重点开展彰武县长坨子水库除险加固工程、阜蒙县水泉水库降等报废工程；加快完善堤防、排水管网、滞蓄场所等城市防洪排涝设施建设，全面提高城市防洪排涝能力。</w:t>
      </w:r>
    </w:p>
    <w:p w14:paraId="716147A1">
      <w:pPr>
        <w:overflowPunct w:val="0"/>
        <w:autoSpaceDE w:val="0"/>
        <w:autoSpaceDN w:val="0"/>
        <w:spacing w:line="576" w:lineRule="exact"/>
        <w:ind w:firstLine="640"/>
        <w:rPr>
          <w:rFonts w:ascii="Times New Roman" w:hAnsi="Times New Roman" w:eastAsia="楷体_GB2312"/>
          <w:sz w:val="32"/>
          <w:szCs w:val="32"/>
        </w:rPr>
      </w:pPr>
      <w:r>
        <w:rPr>
          <w:rFonts w:hint="eastAsia" w:ascii="Times New Roman" w:hAnsi="Times New Roman" w:eastAsia="楷体_GB2312"/>
          <w:sz w:val="32"/>
          <w:szCs w:val="32"/>
        </w:rPr>
        <w:t>（五）实施地质灾害综合治理和避险移民搬迁工程</w:t>
      </w:r>
    </w:p>
    <w:p w14:paraId="565217E9">
      <w:pPr>
        <w:overflowPunct w:val="0"/>
        <w:autoSpaceDE w:val="0"/>
        <w:autoSpaceDN w:val="0"/>
        <w:spacing w:line="576" w:lineRule="exact"/>
        <w:ind w:firstLine="640"/>
        <w:rPr>
          <w:rFonts w:ascii="Times New Roman" w:hAnsi="Times New Roman" w:eastAsia="仿宋_GB2312"/>
          <w:sz w:val="32"/>
          <w:szCs w:val="32"/>
        </w:rPr>
      </w:pPr>
      <w:r>
        <w:rPr>
          <w:rFonts w:hint="eastAsia" w:ascii="Times New Roman" w:hAnsi="Times New Roman" w:eastAsia="仿宋_GB2312"/>
          <w:sz w:val="32"/>
          <w:szCs w:val="32"/>
        </w:rPr>
        <w:t>对已查明的泥石流、崩塌滑坡等地质灾害隐患点，加大工程治理和除险排危工作，新建工程要尽量避开。对地质灾害风险特别大、群众疏散条件困难的地区，该搬迁的就搬，该移民的就移。落实好地质灾害避险搬迁任务，妥善安排新居所和就业、就学等，提高搬迁群众的积极性。</w:t>
      </w:r>
    </w:p>
    <w:p w14:paraId="487DEA97">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楷体_GB2312" w:cs="Times New Roman"/>
          <w:sz w:val="32"/>
          <w:szCs w:val="32"/>
        </w:rPr>
      </w:pPr>
      <w:r>
        <w:rPr>
          <w:rFonts w:hint="eastAsia" w:ascii="Times New Roman" w:hAnsi="Times New Roman" w:eastAsia="楷体_GB2312" w:cs="Times New Roman"/>
          <w:sz w:val="32"/>
          <w:szCs w:val="32"/>
        </w:rPr>
        <w:t>（六）实施应急救援中心建设工程</w:t>
      </w:r>
    </w:p>
    <w:p w14:paraId="78488726">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建设综合应急救援指挥中心，建立和完善平战结合条件下的应急指挥通信网络，</w:t>
      </w:r>
      <w:r>
        <w:rPr>
          <w:rFonts w:hint="eastAsia" w:ascii="Times New Roman" w:hAnsi="仿宋_GB2312" w:eastAsia="仿宋_GB2312" w:cs="Times New Roman"/>
          <w:color w:val="030303"/>
          <w:sz w:val="32"/>
          <w:szCs w:val="32"/>
        </w:rPr>
        <w:t>建立规范化共建共享管理体系，保障应急管理、指挥救援、防灾减灾等工作需求。</w:t>
      </w:r>
      <w:r>
        <w:rPr>
          <w:rFonts w:hint="eastAsia" w:ascii="Times New Roman" w:hAnsi="Times New Roman" w:eastAsia="仿宋_GB2312" w:cs="Times New Roman"/>
          <w:sz w:val="32"/>
          <w:szCs w:val="32"/>
        </w:rPr>
        <w:t>实施市、县（区）、乡镇（街道）、村（社区）应急</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一张图</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项目，全面建设应急管理综合应用平台。</w:t>
      </w:r>
    </w:p>
    <w:p w14:paraId="5CACDBDD">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楷体_GB2312" w:cs="Times New Roman"/>
          <w:sz w:val="32"/>
          <w:szCs w:val="32"/>
        </w:rPr>
      </w:pPr>
      <w:r>
        <w:rPr>
          <w:rFonts w:hint="eastAsia" w:ascii="Times New Roman" w:hAnsi="Times New Roman" w:eastAsia="楷体_GB2312" w:cs="Times New Roman"/>
          <w:sz w:val="32"/>
          <w:szCs w:val="32"/>
        </w:rPr>
        <w:t>（七）实施自然灾害监测预警信息化工程</w:t>
      </w:r>
    </w:p>
    <w:p w14:paraId="5DC56D85">
      <w:pPr>
        <w:overflowPunct w:val="0"/>
        <w:autoSpaceDE w:val="0"/>
        <w:autoSpaceDN w:val="0"/>
        <w:spacing w:line="576" w:lineRule="exact"/>
        <w:ind w:firstLine="640" w:firstLineChars="200"/>
        <w:rPr>
          <w:rFonts w:ascii="Times New Roman" w:hAnsi="Times New Roman" w:eastAsia="仿宋_GB2312"/>
          <w:color w:val="333333"/>
          <w:kern w:val="0"/>
          <w:sz w:val="32"/>
          <w:szCs w:val="32"/>
        </w:rPr>
      </w:pPr>
      <w:r>
        <w:rPr>
          <w:rFonts w:hint="eastAsia" w:ascii="Times New Roman" w:hAnsi="Times New Roman" w:eastAsia="仿宋_GB2312"/>
          <w:color w:val="333333"/>
          <w:kern w:val="0"/>
          <w:sz w:val="32"/>
          <w:szCs w:val="32"/>
        </w:rPr>
        <w:t>加强灾害监测预警平台网络建设，整合利用气象、水文、地震、地质、森林、草原地理信息等监测基础设施，构建空天地一体化全域覆盖的自然灾害监测系统，加强互联互通、数据共享，提高多灾种和灾害链综合监测、风险早期识别和预报预警能力，提高覆盖面、精准度、时效性，增强决策指挥科学性和有效性。进一步加强暴雨、大风、冰雹和干旱等灾害性天气的预报方法研究，提高卫星云图和雷达资料解析应用水平，研发格点预报交互式订正平台，研究制定短时强降水、雷雨大风、冰雹预报预警指标，实现精准预报预警。完善我市地震应急预警体系，</w:t>
      </w:r>
      <w:r>
        <w:rPr>
          <w:rFonts w:hint="eastAsia" w:ascii="Times New Roman" w:hAnsi="仿宋_GB2312" w:eastAsia="仿宋_GB2312"/>
          <w:color w:val="333333"/>
          <w:sz w:val="32"/>
          <w:szCs w:val="32"/>
          <w:shd w:val="clear" w:color="auto" w:fill="FFFFFF"/>
        </w:rPr>
        <w:t>建设完成地震烈</w:t>
      </w:r>
      <w:r>
        <w:rPr>
          <w:rFonts w:hint="eastAsia" w:ascii="仿宋_GB2312" w:hAnsi="仿宋_GB2312" w:eastAsia="仿宋_GB2312"/>
          <w:color w:val="333333"/>
          <w:sz w:val="32"/>
          <w:szCs w:val="32"/>
          <w:shd w:val="clear" w:color="auto" w:fill="FFFFFF"/>
        </w:rPr>
        <w:t>度台</w:t>
      </w:r>
      <w:r>
        <w:rPr>
          <w:rFonts w:ascii="仿宋_GB2312" w:hAnsi="Times New Roman" w:eastAsia="仿宋_GB2312"/>
          <w:color w:val="333333"/>
          <w:sz w:val="32"/>
          <w:szCs w:val="32"/>
          <w:shd w:val="clear" w:color="auto" w:fill="FFFFFF"/>
        </w:rPr>
        <w:t>65</w:t>
      </w:r>
      <w:r>
        <w:rPr>
          <w:rFonts w:hint="eastAsia" w:ascii="仿宋_GB2312" w:hAnsi="仿宋_GB2312" w:eastAsia="仿宋_GB2312"/>
          <w:color w:val="333333"/>
          <w:sz w:val="32"/>
          <w:szCs w:val="32"/>
          <w:shd w:val="clear" w:color="auto" w:fill="FFFFFF"/>
        </w:rPr>
        <w:t>个、地震基准台</w:t>
      </w:r>
      <w:r>
        <w:rPr>
          <w:rFonts w:ascii="仿宋_GB2312" w:hAnsi="Times New Roman" w:eastAsia="仿宋_GB2312"/>
          <w:color w:val="333333"/>
          <w:sz w:val="32"/>
          <w:szCs w:val="32"/>
          <w:shd w:val="clear" w:color="auto" w:fill="FFFFFF"/>
        </w:rPr>
        <w:t>2</w:t>
      </w:r>
      <w:r>
        <w:rPr>
          <w:rFonts w:hint="eastAsia" w:ascii="仿宋_GB2312" w:hAnsi="仿宋_GB2312" w:eastAsia="仿宋_GB2312"/>
          <w:color w:val="333333"/>
          <w:sz w:val="32"/>
          <w:szCs w:val="32"/>
          <w:shd w:val="clear" w:color="auto" w:fill="FFFFFF"/>
        </w:rPr>
        <w:t>个、地震基本站</w:t>
      </w:r>
      <w:r>
        <w:rPr>
          <w:rFonts w:ascii="仿宋_GB2312" w:hAnsi="Times New Roman" w:eastAsia="仿宋_GB2312"/>
          <w:color w:val="333333"/>
          <w:sz w:val="32"/>
          <w:szCs w:val="32"/>
          <w:shd w:val="clear" w:color="auto" w:fill="FFFFFF"/>
        </w:rPr>
        <w:t>6</w:t>
      </w:r>
      <w:r>
        <w:rPr>
          <w:rFonts w:hint="eastAsia" w:ascii="仿宋_GB2312" w:hAnsi="仿宋_GB2312" w:eastAsia="仿宋_GB2312"/>
          <w:color w:val="333333"/>
          <w:sz w:val="32"/>
          <w:szCs w:val="32"/>
          <w:shd w:val="clear" w:color="auto" w:fill="FFFFFF"/>
        </w:rPr>
        <w:t>个，</w:t>
      </w:r>
      <w:r>
        <w:rPr>
          <w:rFonts w:hint="eastAsia" w:ascii="仿宋_GB2312" w:hAnsi="Times New Roman" w:eastAsia="仿宋_GB2312"/>
          <w:color w:val="333333"/>
          <w:kern w:val="0"/>
          <w:sz w:val="32"/>
          <w:szCs w:val="32"/>
        </w:rPr>
        <w:t>充分发挥</w:t>
      </w:r>
      <w:r>
        <w:rPr>
          <w:rFonts w:hint="eastAsia" w:ascii="Times New Roman" w:hAnsi="Times New Roman" w:eastAsia="仿宋_GB2312"/>
          <w:color w:val="333333"/>
          <w:kern w:val="0"/>
          <w:sz w:val="32"/>
          <w:szCs w:val="32"/>
        </w:rPr>
        <w:t>监测预警作用。申报实施《辽宁省阜新市森林火灾高风险区综合治理二期工程（森林防火视频监控系统）项目》，以现代科技为依托，应用先进技术，建立一个功能完善、反应快捷、判断准确的林火监控系统，不断提高森林防火的科技含量。</w:t>
      </w:r>
    </w:p>
    <w:p w14:paraId="2ED03203">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楷体_GB2312" w:cs="Times New Roman"/>
          <w:sz w:val="32"/>
          <w:szCs w:val="32"/>
        </w:rPr>
      </w:pPr>
      <w:r>
        <w:rPr>
          <w:rFonts w:hint="eastAsia" w:ascii="Times New Roman" w:hAnsi="Times New Roman" w:eastAsia="楷体_GB2312" w:cs="Times New Roman"/>
          <w:sz w:val="32"/>
          <w:szCs w:val="32"/>
        </w:rPr>
        <w:t>（八）实施自然灾害防治技术装备现代化工程</w:t>
      </w:r>
    </w:p>
    <w:p w14:paraId="0BE160E9">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加大关键技术攻关力度，重点突破极端自然灾害监测预报预警、灾害信息获取、生命搜索救援等领域的关键技术。提高技术装备智能化、轻型化、标准化水平，重点发展新型应急指挥通信、特种交通应急保障、专用紧急医学救援、智能无人应急救援等领域的应急产品。通过推广应用、引进、购买、租用先进救援应急设备，加大救援队伍先进适用装备的配备力度，掌握一批在关键时候能够起作用的重要设备，提高投送能力，提高救援队伍专业化技术装备水平。</w:t>
      </w:r>
    </w:p>
    <w:p w14:paraId="144D7380">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楷体_GB2312" w:cs="Times New Roman"/>
          <w:b/>
          <w:color w:val="333333"/>
          <w:sz w:val="32"/>
          <w:szCs w:val="32"/>
        </w:rPr>
      </w:pPr>
      <w:r>
        <w:rPr>
          <w:rFonts w:hint="eastAsia" w:ascii="Times New Roman" w:hAnsi="Times New Roman" w:eastAsia="楷体_GB2312" w:cs="Times New Roman"/>
          <w:color w:val="333333"/>
          <w:sz w:val="32"/>
          <w:szCs w:val="32"/>
        </w:rPr>
        <w:t>（九）自然灾害救助物资储备体系建设工程</w:t>
      </w:r>
    </w:p>
    <w:p w14:paraId="4E0EA998">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仿宋_GB2312" w:cs="Times New Roman"/>
          <w:color w:val="333333"/>
          <w:sz w:val="32"/>
          <w:szCs w:val="32"/>
          <w:shd w:val="pct10" w:color="auto" w:fill="FFFFFF"/>
        </w:rPr>
      </w:pPr>
      <w:r>
        <w:rPr>
          <w:rFonts w:hint="eastAsia" w:ascii="Times New Roman" w:hAnsi="Times New Roman" w:eastAsia="仿宋_GB2312" w:cs="Times New Roman"/>
          <w:sz w:val="32"/>
          <w:szCs w:val="32"/>
        </w:rPr>
        <w:t>持续推进市、县（区）、乡镇（街道）应急物资储备网络建设，</w:t>
      </w:r>
      <w:r>
        <w:rPr>
          <w:rFonts w:hint="eastAsia" w:ascii="Times New Roman" w:hAnsi="Times New Roman" w:eastAsia="仿宋_GB2312" w:cs="Times New Roman"/>
          <w:color w:val="333333"/>
          <w:sz w:val="32"/>
          <w:szCs w:val="32"/>
        </w:rPr>
        <w:t>实现应急物资储备管理信息化。采取新建、改扩建和代储等方式，因地制宜，统筹推进，形成分级管理、反应迅速、布局合理、规模适度、种类齐全、功能完备、保障有力的市、县、乡三级救灾物资储备体系。进一步优化市级救灾物资储备库布局，支持多灾易灾地区救灾物资储备库及储存室建设，形成全覆盖能力。科学确定各级救灾物资储备品种及规模，通过协议储备、依托企业代储、生产能力储备和家庭储备等多种方式，构建多元救灾物资储备体系。</w:t>
      </w:r>
    </w:p>
    <w:p w14:paraId="3AAC40A3">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楷体_GB2312" w:cs="Times New Roman"/>
          <w:color w:val="333333"/>
          <w:sz w:val="32"/>
          <w:szCs w:val="32"/>
        </w:rPr>
      </w:pPr>
      <w:r>
        <w:rPr>
          <w:rFonts w:hint="eastAsia" w:ascii="Times New Roman" w:hAnsi="Times New Roman" w:eastAsia="楷体_GB2312" w:cs="Times New Roman"/>
          <w:color w:val="333333"/>
          <w:sz w:val="32"/>
          <w:szCs w:val="32"/>
        </w:rPr>
        <w:t>（十）应急避难场所建设工程</w:t>
      </w:r>
    </w:p>
    <w:p w14:paraId="4BC13863">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仿宋_GB2312" w:cs="Times New Roman"/>
          <w:color w:val="333333"/>
          <w:sz w:val="32"/>
          <w:szCs w:val="32"/>
        </w:rPr>
      </w:pPr>
      <w:r>
        <w:rPr>
          <w:rFonts w:hint="eastAsia" w:ascii="Times New Roman" w:hAnsi="Times New Roman" w:eastAsia="仿宋_GB2312" w:cs="Times New Roman"/>
          <w:color w:val="333333"/>
          <w:sz w:val="32"/>
          <w:szCs w:val="32"/>
        </w:rPr>
        <w:t>制定应急避难场所建设指导性意见，推动全市开展示范性应急避难场所建设，完善应急避难场所建设标准规范。结合人口分布、城市布局、区域特点和灾害特征，建设能够覆盖一定范围，具备应急避险、应急指挥和救援功能的综合应急避难场所。建设应急避难场所信息综合管理与服务平台，实现对应急避难场所功能区、应急物资、人员安置和运行状态等管理与评估，面向社会公众提供避险救援、宣传教育和引导服务。</w:t>
      </w:r>
    </w:p>
    <w:p w14:paraId="1C5568E3">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楷体_GB2312" w:cs="Times New Roman"/>
          <w:color w:val="333333"/>
          <w:sz w:val="32"/>
          <w:szCs w:val="32"/>
          <w:shd w:val="clear" w:color="auto" w:fill="FFFFFF"/>
        </w:rPr>
      </w:pPr>
      <w:r>
        <w:rPr>
          <w:rFonts w:hint="eastAsia" w:ascii="Times New Roman" w:hAnsi="Times New Roman" w:eastAsia="楷体_GB2312" w:cs="Times New Roman"/>
          <w:color w:val="333333"/>
          <w:sz w:val="32"/>
          <w:szCs w:val="32"/>
        </w:rPr>
        <w:t>（十一）防灾减灾科普工程</w:t>
      </w:r>
    </w:p>
    <w:p w14:paraId="281AAB7A">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仿宋_GB2312" w:cs="Times New Roman"/>
          <w:color w:val="333333"/>
          <w:sz w:val="32"/>
          <w:szCs w:val="32"/>
        </w:rPr>
      </w:pPr>
      <w:r>
        <w:rPr>
          <w:rFonts w:hint="eastAsia" w:ascii="Times New Roman" w:hAnsi="Times New Roman" w:eastAsia="仿宋_GB2312" w:cs="Times New Roman"/>
          <w:color w:val="333333"/>
          <w:sz w:val="32"/>
          <w:szCs w:val="32"/>
        </w:rPr>
        <w:t>普及防灾减灾知识，组织形式多样的防灾减灾知识宣传活动和专业性教育培训，开展各类自然灾害的应急演练，增强公众防灾减灾意识，提升全社会公众防灾减灾意识和自救互救技能。制定防灾减灾科普宣传教育基地建设规范，推动结合宣传教育、展览体验、演练实训等功能于一体的防灾减灾科普宣传教育基地。建设防灾减灾开放式网络共享交流平台，为公众提供知识查询、浏览及推送等服务。</w:t>
      </w:r>
    </w:p>
    <w:p w14:paraId="218AFB1F">
      <w:pPr>
        <w:overflowPunct w:val="0"/>
        <w:autoSpaceDE w:val="0"/>
        <w:autoSpaceDN w:val="0"/>
        <w:spacing w:line="576" w:lineRule="exact"/>
        <w:ind w:firstLine="480" w:firstLineChars="150"/>
        <w:contextualSpacing/>
        <w:rPr>
          <w:rFonts w:ascii="Times New Roman" w:hAnsi="Times New Roman" w:eastAsia="黑体"/>
          <w:sz w:val="32"/>
          <w:szCs w:val="32"/>
        </w:rPr>
      </w:pPr>
      <w:r>
        <w:rPr>
          <w:rFonts w:hint="eastAsia" w:ascii="Times New Roman" w:hAnsi="黑体" w:eastAsia="黑体"/>
          <w:sz w:val="32"/>
          <w:szCs w:val="32"/>
        </w:rPr>
        <w:t>六、保障措施</w:t>
      </w:r>
    </w:p>
    <w:p w14:paraId="7CB609D4">
      <w:pPr>
        <w:overflowPunct w:val="0"/>
        <w:autoSpaceDE w:val="0"/>
        <w:autoSpaceDN w:val="0"/>
        <w:spacing w:line="576" w:lineRule="exact"/>
        <w:ind w:firstLine="640" w:firstLineChars="200"/>
        <w:contextualSpacing/>
        <w:rPr>
          <w:rFonts w:ascii="Times New Roman" w:hAnsi="Times New Roman" w:eastAsia="楷体_GB2312"/>
          <w:kern w:val="0"/>
          <w:sz w:val="32"/>
          <w:szCs w:val="32"/>
        </w:rPr>
      </w:pPr>
      <w:r>
        <w:rPr>
          <w:rFonts w:hint="eastAsia" w:ascii="Times New Roman" w:hAnsi="Times New Roman" w:eastAsia="楷体_GB2312"/>
          <w:kern w:val="0"/>
          <w:sz w:val="32"/>
          <w:szCs w:val="32"/>
        </w:rPr>
        <w:t>（一）加强组织领导</w:t>
      </w:r>
    </w:p>
    <w:p w14:paraId="453E074A">
      <w:pPr>
        <w:overflowPunct w:val="0"/>
        <w:autoSpaceDE w:val="0"/>
        <w:autoSpaceDN w:val="0"/>
        <w:spacing w:line="576" w:lineRule="exact"/>
        <w:ind w:firstLine="640" w:firstLineChars="200"/>
        <w:contextualSpacing/>
        <w:rPr>
          <w:rFonts w:ascii="Times New Roman" w:hAnsi="Times New Roman" w:eastAsia="仿宋_GB2312"/>
          <w:kern w:val="0"/>
          <w:sz w:val="32"/>
          <w:szCs w:val="32"/>
        </w:rPr>
      </w:pPr>
      <w:r>
        <w:rPr>
          <w:rFonts w:hint="eastAsia" w:ascii="Times New Roman" w:hAnsi="Times New Roman" w:eastAsia="仿宋_GB2312"/>
          <w:kern w:val="0"/>
          <w:sz w:val="32"/>
          <w:szCs w:val="32"/>
        </w:rPr>
        <w:t>市减灾委负责本规划实施的统筹协调。各县区、各有关部门要以高度的政治责任感和历史使命感，加强组织领导，完善工作机制，切实落实责任，确保规划任务有序推进、目标如期实现。</w:t>
      </w:r>
      <w:r>
        <w:rPr>
          <w:rFonts w:hint="eastAsia" w:ascii="Times New Roman" w:hAnsi="Times New Roman" w:eastAsia="仿宋_GB2312"/>
          <w:sz w:val="32"/>
          <w:szCs w:val="32"/>
        </w:rPr>
        <w:t>要把实施本规划作为防范化解重大安全风险的重要任务，结合实际编制本县区和本部门的防灾减灾规划或实施方案，细化任务分工和阶段目标，明确责任主体，加强与年度计划的衔接。</w:t>
      </w:r>
    </w:p>
    <w:p w14:paraId="59341BDC">
      <w:pPr>
        <w:overflowPunct w:val="0"/>
        <w:autoSpaceDE w:val="0"/>
        <w:autoSpaceDN w:val="0"/>
        <w:spacing w:line="576" w:lineRule="exact"/>
        <w:ind w:firstLine="640" w:firstLineChars="200"/>
        <w:contextualSpacing/>
        <w:rPr>
          <w:rFonts w:ascii="Times New Roman" w:hAnsi="Times New Roman" w:eastAsia="楷体_GB2312"/>
          <w:sz w:val="32"/>
          <w:szCs w:val="32"/>
        </w:rPr>
      </w:pPr>
      <w:r>
        <w:rPr>
          <w:rFonts w:hint="eastAsia" w:ascii="Times New Roman" w:hAnsi="Times New Roman" w:eastAsia="楷体_GB2312"/>
          <w:sz w:val="32"/>
          <w:szCs w:val="32"/>
        </w:rPr>
        <w:t>（二）保障资金落实</w:t>
      </w:r>
    </w:p>
    <w:p w14:paraId="7D91FC69">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完善政府投入、分级分类负责的防灾减灾救灾经费保障机制，持续保障投入力度。防灾减灾救灾管理所需重大工程建设、基本建设、设备购置、信息化建设等资金，由同级人民政府根据应急管理事业发展需要足额安排。鼓励和动员社会化资金投入，切实推动规划目标任务和工程项目落到实处。</w:t>
      </w:r>
    </w:p>
    <w:p w14:paraId="69543D98">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楷体_GB2312" w:cs="Times New Roman"/>
          <w:color w:val="333333"/>
          <w:sz w:val="32"/>
          <w:szCs w:val="32"/>
        </w:rPr>
      </w:pPr>
      <w:r>
        <w:rPr>
          <w:rFonts w:hint="eastAsia" w:ascii="Times New Roman" w:hAnsi="Times New Roman" w:eastAsia="楷体_GB2312" w:cs="Times New Roman"/>
          <w:color w:val="333333"/>
          <w:sz w:val="32"/>
          <w:szCs w:val="32"/>
        </w:rPr>
        <w:t>（三）加强人才培养</w:t>
      </w:r>
    </w:p>
    <w:p w14:paraId="435687AC">
      <w:pPr>
        <w:pStyle w:val="6"/>
        <w:shd w:val="clear" w:color="auto" w:fill="FFFFFF"/>
        <w:overflowPunct w:val="0"/>
        <w:autoSpaceDE w:val="0"/>
        <w:autoSpaceDN w:val="0"/>
        <w:spacing w:before="0" w:beforeAutospacing="0" w:after="0" w:afterAutospacing="0" w:line="576" w:lineRule="exact"/>
        <w:ind w:firstLine="640" w:firstLineChars="200"/>
        <w:jc w:val="both"/>
        <w:rPr>
          <w:rFonts w:ascii="Times New Roman" w:hAnsi="Times New Roman" w:eastAsia="仿宋_GB2312" w:cs="Times New Roman"/>
          <w:color w:val="333333"/>
          <w:sz w:val="32"/>
          <w:szCs w:val="32"/>
        </w:rPr>
      </w:pPr>
      <w:r>
        <w:rPr>
          <w:rFonts w:hint="eastAsia" w:ascii="Times New Roman" w:hAnsi="Times New Roman" w:eastAsia="仿宋_GB2312" w:cs="Times New Roman"/>
          <w:color w:val="333333"/>
          <w:sz w:val="32"/>
          <w:szCs w:val="32"/>
        </w:rPr>
        <w:t>加强防灾减灾救灾科学研究、工程技术、抢险救灾和行政管理等方面的人才培养，强化基层灾害信息员、社会工作者和志愿者等队伍建设，扩充人才队伍数量，优化人才队伍结构，提高人才队伍素质，形成一支结构合理、素质优良、专业过硬的防灾减灾救灾人才队伍。</w:t>
      </w:r>
    </w:p>
    <w:p w14:paraId="1C45E149">
      <w:pPr>
        <w:overflowPunct w:val="0"/>
        <w:autoSpaceDE w:val="0"/>
        <w:autoSpaceDN w:val="0"/>
        <w:spacing w:line="576" w:lineRule="exact"/>
        <w:ind w:firstLine="640" w:firstLineChars="200"/>
        <w:contextualSpacing/>
        <w:rPr>
          <w:rFonts w:ascii="Times New Roman" w:hAnsi="Times New Roman" w:eastAsia="楷体_GB2312"/>
          <w:kern w:val="0"/>
          <w:sz w:val="32"/>
          <w:szCs w:val="32"/>
        </w:rPr>
      </w:pPr>
      <w:r>
        <w:rPr>
          <w:rFonts w:hint="eastAsia" w:ascii="Times New Roman" w:hAnsi="Times New Roman" w:eastAsia="楷体_GB2312"/>
          <w:kern w:val="0"/>
          <w:sz w:val="32"/>
          <w:szCs w:val="32"/>
        </w:rPr>
        <w:t>（四）强化监督管理</w:t>
      </w:r>
    </w:p>
    <w:p w14:paraId="07878EB1">
      <w:pPr>
        <w:pStyle w:val="6"/>
        <w:shd w:val="clear" w:color="auto" w:fill="FFFFFF"/>
        <w:overflowPunct w:val="0"/>
        <w:autoSpaceDE w:val="0"/>
        <w:autoSpaceDN w:val="0"/>
        <w:spacing w:before="0" w:beforeAutospacing="0" w:after="0" w:afterAutospacing="0" w:line="576" w:lineRule="exact"/>
        <w:ind w:firstLine="640" w:firstLineChars="200"/>
        <w:jc w:val="both"/>
        <w:rPr>
          <w:rFonts w:ascii="仿宋_GB2312" w:hAnsi="仿宋" w:eastAsia="仿宋_GB2312"/>
          <w:sz w:val="32"/>
          <w:szCs w:val="32"/>
        </w:rPr>
      </w:pPr>
      <w:r>
        <w:rPr>
          <w:rFonts w:hint="eastAsia" w:ascii="Times New Roman" w:hAnsi="Times New Roman" w:eastAsia="仿宋_GB2312" w:cs="Times New Roman"/>
          <w:sz w:val="32"/>
          <w:szCs w:val="32"/>
        </w:rPr>
        <w:t>各级减灾委员会要建立规划实施的管理、监测和评估制度，</w:t>
      </w:r>
      <w:r>
        <w:rPr>
          <w:rFonts w:hint="eastAsia" w:ascii="Times New Roman" w:hAnsi="Times New Roman" w:eastAsia="仿宋_GB2312" w:cs="Times New Roman"/>
          <w:color w:val="333333"/>
          <w:sz w:val="32"/>
          <w:szCs w:val="32"/>
        </w:rPr>
        <w:t>加强对本规划</w:t>
      </w:r>
      <w:r>
        <w:rPr>
          <w:rFonts w:hint="eastAsia" w:ascii="Times New Roman" w:hAnsi="Times New Roman" w:eastAsia="仿宋_GB2312" w:cs="Times New Roman"/>
          <w:sz w:val="32"/>
          <w:szCs w:val="32"/>
        </w:rPr>
        <w:t>实施情况的跟踪分析和监督检查。市</w:t>
      </w:r>
      <w:r>
        <w:rPr>
          <w:rFonts w:hint="eastAsia" w:ascii="Times New Roman" w:hAnsi="Times New Roman" w:eastAsia="仿宋_GB2312" w:cs="Times New Roman"/>
          <w:color w:val="333333"/>
          <w:sz w:val="32"/>
          <w:szCs w:val="32"/>
        </w:rPr>
        <w:t>减灾委员会各成员单位和各县区人民政府要加强对本规划相关内容落实情况的评估，制定本规划实施分工方案，明确相关部门职责，将规划任务落实情况纳入县区和部门工作督查和考核评价体系。</w:t>
      </w:r>
    </w:p>
    <w:p w14:paraId="49A93D85">
      <w:pPr>
        <w:spacing w:line="576" w:lineRule="exact"/>
      </w:pPr>
    </w:p>
    <w:sectPr>
      <w:headerReference r:id="rId3" w:type="default"/>
      <w:footerReference r:id="rId4" w:type="default"/>
      <w:pgSz w:w="11906" w:h="16838"/>
      <w:pgMar w:top="1701" w:right="1531" w:bottom="1701" w:left="1531"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E7F1B">
    <w:pPr>
      <w:pStyle w:val="4"/>
      <w:jc w:val="center"/>
      <w:rPr>
        <w:rFonts w:ascii="仿宋" w:hAnsi="仿宋" w:eastAsia="仿宋"/>
        <w:sz w:val="21"/>
        <w:szCs w:val="21"/>
      </w:rPr>
    </w:pPr>
    <w:r>
      <w:rPr>
        <w:rFonts w:ascii="仿宋" w:hAnsi="仿宋" w:eastAsia="仿宋"/>
        <w:sz w:val="21"/>
        <w:szCs w:val="21"/>
      </w:rPr>
      <w:fldChar w:fldCharType="begin"/>
    </w:r>
    <w:r>
      <w:rPr>
        <w:rFonts w:ascii="仿宋" w:hAnsi="仿宋" w:eastAsia="仿宋"/>
        <w:sz w:val="21"/>
        <w:szCs w:val="21"/>
      </w:rPr>
      <w:instrText xml:space="preserve">PAGE   \* MERGEFORMAT</w:instrText>
    </w:r>
    <w:r>
      <w:rPr>
        <w:rFonts w:ascii="仿宋" w:hAnsi="仿宋" w:eastAsia="仿宋"/>
        <w:sz w:val="21"/>
        <w:szCs w:val="21"/>
      </w:rPr>
      <w:fldChar w:fldCharType="separate"/>
    </w:r>
    <w:r>
      <w:rPr>
        <w:rFonts w:ascii="仿宋" w:hAnsi="仿宋" w:eastAsia="仿宋"/>
        <w:sz w:val="21"/>
        <w:szCs w:val="21"/>
        <w:lang w:val="zh-CN"/>
      </w:rPr>
      <w:t>-</w:t>
    </w:r>
    <w:r>
      <w:rPr>
        <w:rFonts w:ascii="仿宋" w:hAnsi="仿宋" w:eastAsia="仿宋"/>
        <w:sz w:val="21"/>
        <w:szCs w:val="21"/>
      </w:rPr>
      <w:t xml:space="preserve"> 16 -</w:t>
    </w:r>
    <w:r>
      <w:rPr>
        <w:rFonts w:ascii="仿宋" w:hAnsi="仿宋" w:eastAsia="仿宋"/>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8C5F4">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2U3Nzk2NmYwNTYzZTA1ZDBmNDVlOGQ4MmI3ZWUzZTUifQ=="/>
  </w:docVars>
  <w:rsids>
    <w:rsidRoot w:val="00D7430D"/>
    <w:rsid w:val="000003F1"/>
    <w:rsid w:val="00000B45"/>
    <w:rsid w:val="00027140"/>
    <w:rsid w:val="00035769"/>
    <w:rsid w:val="000442C2"/>
    <w:rsid w:val="00052CD8"/>
    <w:rsid w:val="00060A46"/>
    <w:rsid w:val="00062834"/>
    <w:rsid w:val="00084266"/>
    <w:rsid w:val="000970A0"/>
    <w:rsid w:val="000B6E60"/>
    <w:rsid w:val="000C254F"/>
    <w:rsid w:val="000E3766"/>
    <w:rsid w:val="001005A4"/>
    <w:rsid w:val="00103BE2"/>
    <w:rsid w:val="00110DF1"/>
    <w:rsid w:val="00114394"/>
    <w:rsid w:val="00117C7B"/>
    <w:rsid w:val="00135D54"/>
    <w:rsid w:val="00141BA4"/>
    <w:rsid w:val="00172BC2"/>
    <w:rsid w:val="00172DC4"/>
    <w:rsid w:val="0017437C"/>
    <w:rsid w:val="00183BA7"/>
    <w:rsid w:val="0019085E"/>
    <w:rsid w:val="001D26F1"/>
    <w:rsid w:val="001D532E"/>
    <w:rsid w:val="001F0983"/>
    <w:rsid w:val="00230018"/>
    <w:rsid w:val="00233D0A"/>
    <w:rsid w:val="002368EB"/>
    <w:rsid w:val="002527DA"/>
    <w:rsid w:val="002546BE"/>
    <w:rsid w:val="00267E09"/>
    <w:rsid w:val="002751D9"/>
    <w:rsid w:val="002A355F"/>
    <w:rsid w:val="002A4E31"/>
    <w:rsid w:val="002D7764"/>
    <w:rsid w:val="003024B8"/>
    <w:rsid w:val="00314B03"/>
    <w:rsid w:val="003701F2"/>
    <w:rsid w:val="003744BC"/>
    <w:rsid w:val="00380F5D"/>
    <w:rsid w:val="003B7C5D"/>
    <w:rsid w:val="003E260D"/>
    <w:rsid w:val="00414824"/>
    <w:rsid w:val="004276ED"/>
    <w:rsid w:val="004416FF"/>
    <w:rsid w:val="00455C4B"/>
    <w:rsid w:val="0047478B"/>
    <w:rsid w:val="00475078"/>
    <w:rsid w:val="00486904"/>
    <w:rsid w:val="00494FB5"/>
    <w:rsid w:val="004960C8"/>
    <w:rsid w:val="004A0B81"/>
    <w:rsid w:val="004B72B2"/>
    <w:rsid w:val="004E09A0"/>
    <w:rsid w:val="004E4BA7"/>
    <w:rsid w:val="0058084C"/>
    <w:rsid w:val="00585FD6"/>
    <w:rsid w:val="0059554E"/>
    <w:rsid w:val="005A4C63"/>
    <w:rsid w:val="005B1D6D"/>
    <w:rsid w:val="005B4F73"/>
    <w:rsid w:val="005B5C1D"/>
    <w:rsid w:val="005C206A"/>
    <w:rsid w:val="005D1B90"/>
    <w:rsid w:val="005D6D9C"/>
    <w:rsid w:val="005F3F00"/>
    <w:rsid w:val="005F3FF3"/>
    <w:rsid w:val="005F6122"/>
    <w:rsid w:val="00606814"/>
    <w:rsid w:val="006258A2"/>
    <w:rsid w:val="00641613"/>
    <w:rsid w:val="00685BEE"/>
    <w:rsid w:val="00686CA8"/>
    <w:rsid w:val="006C2E32"/>
    <w:rsid w:val="006F376B"/>
    <w:rsid w:val="0071488D"/>
    <w:rsid w:val="00723AC6"/>
    <w:rsid w:val="00730ABE"/>
    <w:rsid w:val="007502EF"/>
    <w:rsid w:val="00760F5A"/>
    <w:rsid w:val="00784434"/>
    <w:rsid w:val="0078712D"/>
    <w:rsid w:val="0079149C"/>
    <w:rsid w:val="007B2DEC"/>
    <w:rsid w:val="007C7F9C"/>
    <w:rsid w:val="007D16AD"/>
    <w:rsid w:val="007D1F56"/>
    <w:rsid w:val="007E3D1F"/>
    <w:rsid w:val="00802AC5"/>
    <w:rsid w:val="00810E43"/>
    <w:rsid w:val="00822E79"/>
    <w:rsid w:val="0083409C"/>
    <w:rsid w:val="008355EC"/>
    <w:rsid w:val="00837721"/>
    <w:rsid w:val="008A07B8"/>
    <w:rsid w:val="008B719F"/>
    <w:rsid w:val="008D03FB"/>
    <w:rsid w:val="00960EFA"/>
    <w:rsid w:val="00964573"/>
    <w:rsid w:val="0096559B"/>
    <w:rsid w:val="009670C7"/>
    <w:rsid w:val="00977FB8"/>
    <w:rsid w:val="0098649D"/>
    <w:rsid w:val="009A3FE3"/>
    <w:rsid w:val="009C6205"/>
    <w:rsid w:val="009D1414"/>
    <w:rsid w:val="009D5000"/>
    <w:rsid w:val="009E5020"/>
    <w:rsid w:val="009E7621"/>
    <w:rsid w:val="009F1D69"/>
    <w:rsid w:val="00A15032"/>
    <w:rsid w:val="00A35256"/>
    <w:rsid w:val="00A44BAF"/>
    <w:rsid w:val="00A67C79"/>
    <w:rsid w:val="00A80619"/>
    <w:rsid w:val="00A91530"/>
    <w:rsid w:val="00AB1A74"/>
    <w:rsid w:val="00AC1BF7"/>
    <w:rsid w:val="00AC55AB"/>
    <w:rsid w:val="00AC6EEC"/>
    <w:rsid w:val="00AD342B"/>
    <w:rsid w:val="00AD4C9D"/>
    <w:rsid w:val="00AD6FF3"/>
    <w:rsid w:val="00AF1308"/>
    <w:rsid w:val="00B07489"/>
    <w:rsid w:val="00B33CA0"/>
    <w:rsid w:val="00B4508B"/>
    <w:rsid w:val="00B50EA4"/>
    <w:rsid w:val="00B54A0D"/>
    <w:rsid w:val="00B75431"/>
    <w:rsid w:val="00B80137"/>
    <w:rsid w:val="00BA0E5D"/>
    <w:rsid w:val="00BC5562"/>
    <w:rsid w:val="00BD5AED"/>
    <w:rsid w:val="00BE4386"/>
    <w:rsid w:val="00BE4758"/>
    <w:rsid w:val="00BF42FC"/>
    <w:rsid w:val="00C0703F"/>
    <w:rsid w:val="00C17B22"/>
    <w:rsid w:val="00C47394"/>
    <w:rsid w:val="00C640A6"/>
    <w:rsid w:val="00C83766"/>
    <w:rsid w:val="00C8584C"/>
    <w:rsid w:val="00CA1867"/>
    <w:rsid w:val="00CC051E"/>
    <w:rsid w:val="00CC1367"/>
    <w:rsid w:val="00CC27E1"/>
    <w:rsid w:val="00CE087E"/>
    <w:rsid w:val="00D25DFD"/>
    <w:rsid w:val="00D47CC0"/>
    <w:rsid w:val="00D54FEA"/>
    <w:rsid w:val="00D7206D"/>
    <w:rsid w:val="00D72F29"/>
    <w:rsid w:val="00D7430D"/>
    <w:rsid w:val="00D7729F"/>
    <w:rsid w:val="00D774DB"/>
    <w:rsid w:val="00D80DAA"/>
    <w:rsid w:val="00D81564"/>
    <w:rsid w:val="00D82C97"/>
    <w:rsid w:val="00D86287"/>
    <w:rsid w:val="00DB37D0"/>
    <w:rsid w:val="00DC13FA"/>
    <w:rsid w:val="00DC52C6"/>
    <w:rsid w:val="00E07B4B"/>
    <w:rsid w:val="00E11177"/>
    <w:rsid w:val="00E118CE"/>
    <w:rsid w:val="00E13A7D"/>
    <w:rsid w:val="00E43037"/>
    <w:rsid w:val="00E53C6A"/>
    <w:rsid w:val="00E71A0E"/>
    <w:rsid w:val="00E752E3"/>
    <w:rsid w:val="00E802AA"/>
    <w:rsid w:val="00E80805"/>
    <w:rsid w:val="00E826F7"/>
    <w:rsid w:val="00E86AD3"/>
    <w:rsid w:val="00EA0D28"/>
    <w:rsid w:val="00EB5FFB"/>
    <w:rsid w:val="00ED08C5"/>
    <w:rsid w:val="00EE36FA"/>
    <w:rsid w:val="00EF6AEC"/>
    <w:rsid w:val="00F00597"/>
    <w:rsid w:val="00F13EE0"/>
    <w:rsid w:val="00F206A7"/>
    <w:rsid w:val="00F32916"/>
    <w:rsid w:val="00F77C40"/>
    <w:rsid w:val="00FC6C73"/>
    <w:rsid w:val="00FE1256"/>
    <w:rsid w:val="13683D5B"/>
    <w:rsid w:val="1D7823E8"/>
    <w:rsid w:val="20367E19"/>
    <w:rsid w:val="344E048A"/>
    <w:rsid w:val="61491F21"/>
    <w:rsid w:val="66662277"/>
    <w:rsid w:val="6D94603C"/>
    <w:rsid w:val="706D72B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nhideWhenUsed="0" w:uiPriority="99" w:name="Default Paragraph Font"/>
    <w:lsdException w:uiPriority="99"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qFormat="1" w:unhideWhenUsed="0" w:uiPriority="99" w:semiHidden="0" w:name="Body Text First Indent 2"/>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10">
    <w:name w:val="Default Paragraph Font"/>
    <w:semiHidden/>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7"/>
    <w:qFormat/>
    <w:uiPriority w:val="99"/>
    <w:pPr>
      <w:spacing w:after="120"/>
      <w:ind w:left="420" w:leftChars="200"/>
    </w:pPr>
  </w:style>
  <w:style w:type="paragraph" w:styleId="3">
    <w:name w:val="Balloon Text"/>
    <w:basedOn w:val="1"/>
    <w:link w:val="22"/>
    <w:uiPriority w:val="99"/>
    <w:rPr>
      <w:sz w:val="18"/>
      <w:szCs w:val="18"/>
    </w:rPr>
  </w:style>
  <w:style w:type="paragraph" w:styleId="4">
    <w:name w:val="footer"/>
    <w:basedOn w:val="1"/>
    <w:link w:val="16"/>
    <w:uiPriority w:val="99"/>
    <w:pPr>
      <w:tabs>
        <w:tab w:val="center" w:pos="4153"/>
        <w:tab w:val="right" w:pos="8306"/>
      </w:tabs>
      <w:snapToGrid w:val="0"/>
      <w:jc w:val="left"/>
    </w:pPr>
    <w:rPr>
      <w:sz w:val="18"/>
      <w:szCs w:val="18"/>
    </w:rPr>
  </w:style>
  <w:style w:type="paragraph" w:styleId="5">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Body Text First Indent 2"/>
    <w:basedOn w:val="2"/>
    <w:link w:val="18"/>
    <w:qFormat/>
    <w:uiPriority w:val="99"/>
    <w:pPr>
      <w:ind w:firstLine="420" w:firstLineChars="200"/>
    </w:pPr>
    <w:rPr>
      <w:rFonts w:ascii="Times New Roman" w:hAnsi="Times New Roman" w:eastAsia="宋体"/>
      <w:szCs w:val="24"/>
    </w:rPr>
  </w:style>
  <w:style w:type="table" w:styleId="9">
    <w:name w:val="Table Grid"/>
    <w:basedOn w:val="8"/>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99"/>
    <w:rPr>
      <w:rFonts w:cs="Times New Roman"/>
      <w:b/>
    </w:rPr>
  </w:style>
  <w:style w:type="character" w:styleId="12">
    <w:name w:val="Hyperlink"/>
    <w:basedOn w:val="10"/>
    <w:uiPriority w:val="99"/>
    <w:rPr>
      <w:rFonts w:cs="Times New Roman"/>
      <w:color w:val="333333"/>
      <w:u w:val="none"/>
    </w:rPr>
  </w:style>
  <w:style w:type="character" w:customStyle="1" w:styleId="13">
    <w:name w:val="Footer Char"/>
    <w:locked/>
    <w:uiPriority w:val="99"/>
    <w:rPr>
      <w:rFonts w:ascii="等线" w:hAnsi="等线" w:eastAsia="等线"/>
      <w:kern w:val="2"/>
      <w:sz w:val="18"/>
      <w:lang w:val="en-US" w:eastAsia="zh-CN"/>
    </w:rPr>
  </w:style>
  <w:style w:type="character" w:customStyle="1" w:styleId="14">
    <w:name w:val="Header Char"/>
    <w:locked/>
    <w:uiPriority w:val="99"/>
    <w:rPr>
      <w:rFonts w:ascii="等线" w:hAnsi="等线" w:eastAsia="等线"/>
      <w:kern w:val="2"/>
      <w:sz w:val="18"/>
    </w:rPr>
  </w:style>
  <w:style w:type="paragraph" w:customStyle="1" w:styleId="15">
    <w:name w:val="WPSOffice手动目录 2"/>
    <w:qFormat/>
    <w:uiPriority w:val="99"/>
    <w:pPr>
      <w:ind w:left="200" w:leftChars="200"/>
    </w:pPr>
    <w:rPr>
      <w:rFonts w:ascii="Times New Roman" w:hAnsi="Times New Roman" w:eastAsia="宋体" w:cs="Times New Roman"/>
      <w:kern w:val="0"/>
      <w:sz w:val="20"/>
      <w:szCs w:val="20"/>
      <w:lang w:val="en-US" w:eastAsia="zh-CN" w:bidi="ar-SA"/>
    </w:rPr>
  </w:style>
  <w:style w:type="character" w:customStyle="1" w:styleId="16">
    <w:name w:val="Footer Char1"/>
    <w:basedOn w:val="10"/>
    <w:link w:val="4"/>
    <w:semiHidden/>
    <w:qFormat/>
    <w:locked/>
    <w:uiPriority w:val="99"/>
    <w:rPr>
      <w:rFonts w:ascii="等线" w:hAnsi="等线" w:eastAsia="等线" w:cs="Times New Roman"/>
      <w:sz w:val="18"/>
      <w:szCs w:val="18"/>
    </w:rPr>
  </w:style>
  <w:style w:type="character" w:customStyle="1" w:styleId="17">
    <w:name w:val="Body Text Indent Char"/>
    <w:basedOn w:val="10"/>
    <w:link w:val="2"/>
    <w:semiHidden/>
    <w:qFormat/>
    <w:locked/>
    <w:uiPriority w:val="99"/>
    <w:rPr>
      <w:rFonts w:ascii="等线" w:hAnsi="等线" w:eastAsia="等线" w:cs="Times New Roman"/>
    </w:rPr>
  </w:style>
  <w:style w:type="character" w:customStyle="1" w:styleId="18">
    <w:name w:val="Body Text First Indent 2 Char"/>
    <w:basedOn w:val="17"/>
    <w:link w:val="7"/>
    <w:semiHidden/>
    <w:qFormat/>
    <w:locked/>
    <w:uiPriority w:val="99"/>
  </w:style>
  <w:style w:type="character" w:customStyle="1" w:styleId="19">
    <w:name w:val="Header Char1"/>
    <w:basedOn w:val="10"/>
    <w:link w:val="5"/>
    <w:semiHidden/>
    <w:qFormat/>
    <w:locked/>
    <w:uiPriority w:val="99"/>
    <w:rPr>
      <w:rFonts w:ascii="等线" w:hAnsi="等线" w:eastAsia="等线" w:cs="Times New Roman"/>
      <w:sz w:val="18"/>
      <w:szCs w:val="18"/>
    </w:rPr>
  </w:style>
  <w:style w:type="paragraph" w:customStyle="1" w:styleId="20">
    <w:name w:val="WPSOffice手动目录 1"/>
    <w:qFormat/>
    <w:uiPriority w:val="99"/>
    <w:rPr>
      <w:rFonts w:ascii="Times New Roman" w:hAnsi="Times New Roman" w:eastAsia="宋体" w:cs="Times New Roman"/>
      <w:kern w:val="0"/>
      <w:sz w:val="20"/>
      <w:szCs w:val="20"/>
      <w:lang w:val="en-US" w:eastAsia="zh-CN" w:bidi="ar-SA"/>
    </w:rPr>
  </w:style>
  <w:style w:type="paragraph" w:customStyle="1" w:styleId="21">
    <w:name w:val="Char"/>
    <w:basedOn w:val="1"/>
    <w:uiPriority w:val="99"/>
    <w:pPr>
      <w:widowControl/>
      <w:spacing w:after="160" w:line="240" w:lineRule="exact"/>
      <w:jc w:val="left"/>
    </w:pPr>
    <w:rPr>
      <w:rFonts w:ascii="Verdana" w:hAnsi="Verdana" w:eastAsia="仿宋_GB2312"/>
      <w:kern w:val="0"/>
      <w:sz w:val="30"/>
      <w:szCs w:val="30"/>
      <w:lang w:eastAsia="en-US"/>
    </w:rPr>
  </w:style>
  <w:style w:type="character" w:customStyle="1" w:styleId="22">
    <w:name w:val="Balloon Text Char"/>
    <w:basedOn w:val="10"/>
    <w:link w:val="3"/>
    <w:qFormat/>
    <w:locked/>
    <w:uiPriority w:val="99"/>
    <w:rPr>
      <w:rFonts w:ascii="等线" w:hAnsi="等线" w:eastAsia="等线"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信念技术论坛</Company>
  <Pages>22</Pages>
  <Words>10652</Words>
  <Characters>10973</Characters>
  <Lines>0</Lines>
  <Paragraphs>0</Paragraphs>
  <TotalTime>346</TotalTime>
  <ScaleCrop>false</ScaleCrop>
  <LinksUpToDate>false</LinksUpToDate>
  <CharactersWithSpaces>12154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2020-11-22T01:19:00Z</dcterms:created>
  <dc:creator>User</dc:creator>
  <cp:lastModifiedBy>金金金</cp:lastModifiedBy>
  <cp:lastPrinted>2020-11-22T01:07:00Z</cp:lastPrinted>
  <dcterms:modified xsi:type="dcterms:W3CDTF">2026-10-15T02:34:51Z</dcterms:modified>
  <dc:title>阜新市综合防灾减灾规划</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C5456E96F053440FBA2EC33776F0FB1A_12</vt:lpwstr>
  </property>
  <property fmtid="{D5CDD505-2E9C-101B-9397-08002B2CF9AE}" pid="4" name="KSOTemplateDocerSaveRecord">
    <vt:lpwstr>eyJoZGlkIjoiYWVlOGM5OGQwMjFkOTFlMDY5MGQ1NGFlMTlkOGM4ZGUiLCJ1c2VySWQiOiIzNDc5MTEyNjIifQ==</vt:lpwstr>
  </property>
</Properties>
</file>